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E2A4" w14:textId="2217E938" w:rsidR="004F7CED" w:rsidRDefault="004F7CED" w:rsidP="004F7CED">
      <w:pPr>
        <w:keepNext/>
        <w:keepLines/>
        <w:spacing w:before="240"/>
        <w:jc w:val="center"/>
        <w:outlineLvl w:val="0"/>
        <w:rPr>
          <w:rFonts w:eastAsiaTheme="majorEastAsia" w:cs="Arial"/>
          <w:b/>
          <w:color w:val="000000" w:themeColor="text1"/>
          <w:sz w:val="36"/>
          <w:szCs w:val="36"/>
        </w:rPr>
      </w:pPr>
      <w:r w:rsidRPr="009E039A">
        <w:rPr>
          <w:bCs/>
          <w:noProof/>
          <w:lang w:eastAsia="fr-FR"/>
        </w:rPr>
        <w:drawing>
          <wp:anchor distT="0" distB="0" distL="114300" distR="114300" simplePos="0" relativeHeight="251654144" behindDoc="0" locked="0" layoutInCell="1" allowOverlap="1" wp14:anchorId="44FEA9A2" wp14:editId="49B526BF">
            <wp:simplePos x="0" y="0"/>
            <wp:positionH relativeFrom="column">
              <wp:posOffset>6264275</wp:posOffset>
            </wp:positionH>
            <wp:positionV relativeFrom="paragraph">
              <wp:posOffset>521970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9E039A">
        <w:rPr>
          <w:rFonts w:eastAsiaTheme="majorEastAsia" w:cs="Arial"/>
          <w:b/>
          <w:color w:val="000000" w:themeColor="text1"/>
          <w:sz w:val="44"/>
          <w:szCs w:val="32"/>
        </w:rPr>
        <w:t>Fiche info</w:t>
      </w:r>
      <w:r>
        <w:rPr>
          <w:rFonts w:eastAsiaTheme="majorEastAsia" w:cs="Arial"/>
          <w:b/>
          <w:color w:val="000000" w:themeColor="text1"/>
          <w:sz w:val="44"/>
          <w:szCs w:val="32"/>
        </w:rPr>
        <w:t>s</w:t>
      </w:r>
      <w:r w:rsidR="00351909" w:rsidRPr="009E039A">
        <w:rPr>
          <w:rFonts w:eastAsiaTheme="majorEastAsia" w:cs="Arial"/>
          <w:b/>
          <w:color w:val="000000" w:themeColor="text1"/>
          <w:sz w:val="44"/>
          <w:szCs w:val="32"/>
        </w:rPr>
        <w:t xml:space="preserve"> – </w:t>
      </w:r>
      <w:r>
        <w:rPr>
          <w:rFonts w:eastAsiaTheme="majorEastAsia" w:cs="Arial"/>
          <w:b/>
          <w:color w:val="000000" w:themeColor="text1"/>
          <w:sz w:val="44"/>
          <w:szCs w:val="32"/>
        </w:rPr>
        <w:t>V</w:t>
      </w:r>
      <w:r w:rsidR="001C4959">
        <w:rPr>
          <w:rFonts w:eastAsiaTheme="majorEastAsia" w:cs="Arial"/>
          <w:b/>
          <w:color w:val="000000" w:themeColor="text1"/>
          <w:sz w:val="44"/>
          <w:szCs w:val="32"/>
        </w:rPr>
        <w:t>accination de l’enfant</w:t>
      </w:r>
      <w:r w:rsidR="00351909" w:rsidRPr="009E039A">
        <w:rPr>
          <w:rFonts w:eastAsiaTheme="majorEastAsia" w:cs="Arial"/>
          <w:b/>
          <w:color w:val="000000" w:themeColor="text1"/>
          <w:sz w:val="44"/>
          <w:szCs w:val="32"/>
        </w:rPr>
        <w:br/>
      </w:r>
      <w:r w:rsidR="00351909" w:rsidRPr="004F7CED">
        <w:rPr>
          <w:rFonts w:eastAsiaTheme="majorEastAsia" w:cs="Arial"/>
          <w:b/>
          <w:color w:val="000000" w:themeColor="text1"/>
          <w:sz w:val="36"/>
          <w:szCs w:val="36"/>
        </w:rPr>
        <w:t xml:space="preserve">C’est quoi </w:t>
      </w:r>
      <w:r w:rsidR="00FE1D04" w:rsidRPr="004F7CED">
        <w:rPr>
          <w:rFonts w:eastAsiaTheme="majorEastAsia" w:cs="Arial"/>
          <w:b/>
          <w:color w:val="000000" w:themeColor="text1"/>
          <w:sz w:val="36"/>
          <w:szCs w:val="36"/>
        </w:rPr>
        <w:t>l’hépatite B</w:t>
      </w:r>
      <w:r w:rsidR="00351909" w:rsidRPr="004F7CED">
        <w:rPr>
          <w:rFonts w:eastAsiaTheme="majorEastAsia" w:cs="Arial"/>
          <w:b/>
          <w:color w:val="000000" w:themeColor="text1"/>
          <w:sz w:val="36"/>
          <w:szCs w:val="36"/>
        </w:rPr>
        <w:t> ?</w:t>
      </w:r>
    </w:p>
    <w:p w14:paraId="67DA3576" w14:textId="0A5ADA32" w:rsidR="004F7CED" w:rsidRPr="004F7CED" w:rsidRDefault="004F7CED" w:rsidP="004F7CED">
      <w:r w:rsidRPr="009E039A">
        <w:rPr>
          <w:noProof/>
          <w:lang w:eastAsia="fr-FR"/>
        </w:rPr>
        <mc:AlternateContent>
          <mc:Choice Requires="wps">
            <w:drawing>
              <wp:anchor distT="0" distB="0" distL="114300" distR="114300" simplePos="0" relativeHeight="251662336" behindDoc="1" locked="0" layoutInCell="1" allowOverlap="1" wp14:anchorId="5470544E" wp14:editId="3AD93B02">
                <wp:simplePos x="0" y="0"/>
                <wp:positionH relativeFrom="column">
                  <wp:posOffset>-266700</wp:posOffset>
                </wp:positionH>
                <wp:positionV relativeFrom="paragraph">
                  <wp:posOffset>79375</wp:posOffset>
                </wp:positionV>
                <wp:extent cx="7107555" cy="8432800"/>
                <wp:effectExtent l="19050" t="19050" r="17145" b="2540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4328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0AE8" id="Rectangle 3" o:spid="_x0000_s1026" style="position:absolute;margin-left:-21pt;margin-top:6.25pt;width:559.6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" filled="f" strokecolor="#1f396c" strokeweight="2.25pt"/>
            </w:pict>
          </mc:Fallback>
        </mc:AlternateContent>
      </w:r>
    </w:p>
    <w:p w14:paraId="5149A714" w14:textId="09AB4D85" w:rsidR="00351909" w:rsidRPr="009E039A" w:rsidRDefault="00351909" w:rsidP="009A0D35">
      <w:pPr>
        <w:pStyle w:val="Titre2"/>
      </w:pPr>
      <w:r w:rsidRPr="009E039A">
        <w:t xml:space="preserve">C’est quoi </w:t>
      </w:r>
      <w:r w:rsidR="00FE1D04">
        <w:t>l’hépatite B</w:t>
      </w:r>
      <w:r w:rsidRPr="009E039A">
        <w:t> ?</w:t>
      </w:r>
    </w:p>
    <w:p w14:paraId="7B2E0FDA" w14:textId="77777777" w:rsidR="004B2322" w:rsidRPr="009E039A" w:rsidRDefault="004B2322" w:rsidP="009E039A">
      <w:pPr>
        <w:rPr>
          <w:rFonts w:cs="Arial"/>
        </w:rPr>
        <w:sectPr w:rsidR="004B2322" w:rsidRPr="009E039A" w:rsidSect="00351909">
          <w:pgSz w:w="11906" w:h="16838"/>
          <w:pgMar w:top="720" w:right="720" w:bottom="720" w:left="720" w:header="708" w:footer="708" w:gutter="0"/>
          <w:cols w:space="708"/>
          <w:docGrid w:linePitch="360"/>
        </w:sectPr>
      </w:pPr>
    </w:p>
    <w:p w14:paraId="3EF62D51" w14:textId="141FBFD9" w:rsidR="004B2322" w:rsidRDefault="004B2322" w:rsidP="00A15FF9">
      <w:pPr>
        <w:jc w:val="center"/>
        <w:rPr>
          <w:rFonts w:cs="Arial"/>
        </w:rPr>
      </w:pPr>
      <w:r w:rsidRPr="009E039A">
        <w:rPr>
          <w:rFonts w:cs="Arial"/>
          <w:noProof/>
          <w:lang w:eastAsia="fr-FR"/>
        </w:rPr>
        <w:drawing>
          <wp:inline distT="0" distB="0" distL="0" distR="0" wp14:anchorId="250AD727" wp14:editId="757B190A">
            <wp:extent cx="633600" cy="608256"/>
            <wp:effectExtent l="0" t="0" r="1905" b="1905"/>
            <wp:docPr id="1" name="Image 1" descr="photo au microscope du virus de l'hépatit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u virus de l'hépatite B"/>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633600" cy="608256"/>
                    </a:xfrm>
                    <a:prstGeom prst="rect">
                      <a:avLst/>
                    </a:prstGeom>
                    <a:noFill/>
                    <a:ln>
                      <a:noFill/>
                    </a:ln>
                  </pic:spPr>
                </pic:pic>
              </a:graphicData>
            </a:graphic>
          </wp:inline>
        </w:drawing>
      </w:r>
    </w:p>
    <w:p w14:paraId="0A38356B" w14:textId="77777777" w:rsidR="004F7CED" w:rsidRDefault="00FE1D04" w:rsidP="004F7CED">
      <w:r>
        <w:t xml:space="preserve">Virus de l'hépatite B - Avec la permission de </w:t>
      </w:r>
      <w:proofErr w:type="spellStart"/>
      <w:r>
        <w:t>Giantmicrobes</w:t>
      </w:r>
      <w:proofErr w:type="spellEnd"/>
      <w:r>
        <w:t xml:space="preserve">, Inc. </w:t>
      </w:r>
      <w:hyperlink r:id="rId7" w:history="1">
        <w:r w:rsidR="004F7CED" w:rsidRPr="00985063">
          <w:rPr>
            <w:rStyle w:val="Lienhypertexte"/>
          </w:rPr>
          <w:t>www.giantmicrobes.com/uk/</w:t>
        </w:r>
      </w:hyperlink>
      <w:r w:rsidR="004F7CED">
        <w:t xml:space="preserve"> </w:t>
      </w:r>
    </w:p>
    <w:p w14:paraId="4C8B14D3" w14:textId="2965F448" w:rsidR="001C2BDA" w:rsidRDefault="00A15FF9" w:rsidP="004F7CED">
      <w:pPr>
        <w:sectPr w:rsidR="001C2BDA" w:rsidSect="004F7CED">
          <w:type w:val="continuous"/>
          <w:pgSz w:w="11906" w:h="16838"/>
          <w:pgMar w:top="720" w:right="720" w:bottom="720" w:left="720" w:header="708" w:footer="708" w:gutter="0"/>
          <w:cols w:num="2" w:space="284" w:equalWidth="0">
            <w:col w:w="4536" w:space="284"/>
            <w:col w:w="5646"/>
          </w:cols>
          <w:docGrid w:linePitch="360"/>
        </w:sectPr>
      </w:pPr>
      <w:r>
        <w:br w:type="column"/>
      </w:r>
      <w:r w:rsidR="00FE1D04">
        <w:t xml:space="preserve">L'hépatite B est une infection virale grave qui atteint le foie (l'hépatite est une inflammation du foie). La plupart du temps c'est une maladie courte (aiguë) mais un petit nombre de personnes ont une maladie durable (chronique). </w:t>
      </w:r>
    </w:p>
    <w:p w14:paraId="2B93C804" w14:textId="77777777" w:rsidR="004F7CED" w:rsidRDefault="004F7CED" w:rsidP="004F7CED"/>
    <w:p w14:paraId="01391310" w14:textId="730F433F" w:rsidR="00351909" w:rsidRPr="009E039A" w:rsidRDefault="00351909" w:rsidP="009A0D35">
      <w:pPr>
        <w:pStyle w:val="Titre2"/>
      </w:pPr>
      <w:r w:rsidRPr="009E039A">
        <w:t>Quels sont les symptômes ?</w:t>
      </w:r>
    </w:p>
    <w:p w14:paraId="6E3C26DB" w14:textId="5F6D0C4E" w:rsidR="004F7CED" w:rsidRDefault="00FE1D04" w:rsidP="004F7CED">
      <w:r>
        <w:t>Le plus souvent les personnes atteintes n'ont pas de symptômes (surtout les jeunes enfants). Les symptômes comprennent une perte de l'appétit, de la fatigue, des douleurs articulaires, des maux de tête, de la fièvre, des urines foncées, de la diarrhée et des vomissements. Certaines personnes infectées peuvent avoir une jaunisse (la peau et les yeux sont jaunes) qui peut durer jusqu'à 8 semaines. La plupart des gens guérissent complètement, mais cela peut prendre 6 mois ou davantage. Parfois, chez environ une personne sur dix, si la maladie n'est pas guérie au bout de 6 mois elle peut durer toute la vie. Cette infection chronique peut endommager le foie et même entrainer un cancer du foie.</w:t>
      </w:r>
      <w:r w:rsidR="004F7CED">
        <w:t xml:space="preserve"> </w:t>
      </w:r>
      <w:r>
        <w:t>Une fois qu'on l'a eue on ne p</w:t>
      </w:r>
      <w:r w:rsidR="004F7CED">
        <w:t>eut plus être à nouveau contaminé.</w:t>
      </w:r>
    </w:p>
    <w:p w14:paraId="757DF7C8" w14:textId="77777777" w:rsidR="004F7CED" w:rsidRDefault="004F7CED" w:rsidP="004F7CED"/>
    <w:p w14:paraId="6562A94E" w14:textId="07D10322" w:rsidR="009E039A" w:rsidRPr="009E039A" w:rsidRDefault="004B2322" w:rsidP="004F7CED">
      <w:pPr>
        <w:pStyle w:val="Titre2"/>
      </w:pPr>
      <w:r w:rsidRPr="009E039A">
        <w:t xml:space="preserve">Qui peut </w:t>
      </w:r>
      <w:r w:rsidR="004F7CED">
        <w:rPr>
          <w:szCs w:val="22"/>
        </w:rPr>
        <w:t>être infecté</w:t>
      </w:r>
      <w:r w:rsidRPr="009E039A">
        <w:t> ?</w:t>
      </w:r>
    </w:p>
    <w:p w14:paraId="704E8059" w14:textId="5EFB3DC5" w:rsidR="00FE1D04" w:rsidRDefault="00FE1D04" w:rsidP="004F7CED">
      <w:r w:rsidRPr="00FE1D04">
        <w:t>N'importe qui, mais il y a des groupes de personnes plus à risque : les professionnels de santé, les utilisateurs de drogues et les travailleurs sexuels.</w:t>
      </w:r>
    </w:p>
    <w:p w14:paraId="677D9E82" w14:textId="77777777" w:rsidR="004F7CED" w:rsidRDefault="004F7CED" w:rsidP="004F7CED"/>
    <w:p w14:paraId="6054AC67" w14:textId="36E452F0" w:rsidR="009E039A" w:rsidRPr="009A0D35" w:rsidRDefault="009A0D35" w:rsidP="009A0D35">
      <w:pPr>
        <w:pStyle w:val="Titre2"/>
        <w:rPr>
          <w:rFonts w:cs="Arial"/>
        </w:rPr>
      </w:pPr>
      <w:r w:rsidRPr="009A0D35">
        <w:t xml:space="preserve">Comment </w:t>
      </w:r>
      <w:r w:rsidR="0013023E">
        <w:t>ça</w:t>
      </w:r>
      <w:r w:rsidRPr="009A0D35">
        <w:t xml:space="preserve"> se transmet</w:t>
      </w:r>
      <w:r w:rsidR="004B2322" w:rsidRPr="009A0D35">
        <w:t> ?</w:t>
      </w:r>
    </w:p>
    <w:p w14:paraId="53AEFFB0" w14:textId="77777777" w:rsidR="004F7CED" w:rsidRDefault="00FE1D04">
      <w:r>
        <w:t xml:space="preserve">L'hépatite B est très contagieuse et se transmet par voie sexuelle, sanguine et de la mère à l'enfant : </w:t>
      </w:r>
    </w:p>
    <w:p w14:paraId="0F806DC1" w14:textId="77777777" w:rsidR="004F7CED" w:rsidRDefault="00FE1D04" w:rsidP="004F7CED">
      <w:pPr>
        <w:pStyle w:val="Paragraphedeliste"/>
        <w:numPr>
          <w:ilvl w:val="0"/>
          <w:numId w:val="3"/>
        </w:numPr>
      </w:pPr>
      <w:proofErr w:type="gramStart"/>
      <w:r>
        <w:t>par</w:t>
      </w:r>
      <w:proofErr w:type="gramEnd"/>
      <w:r>
        <w:t xml:space="preserve"> du sang contaminé venant d'une plaie, d'une </w:t>
      </w:r>
      <w:r w:rsidR="004F7CED">
        <w:t>coupure ou d'une égratignure,</w:t>
      </w:r>
    </w:p>
    <w:p w14:paraId="223393E5" w14:textId="77777777" w:rsidR="004F7CED" w:rsidRDefault="00FE1D04" w:rsidP="004F7CED">
      <w:pPr>
        <w:pStyle w:val="Paragraphedeliste"/>
        <w:numPr>
          <w:ilvl w:val="0"/>
          <w:numId w:val="3"/>
        </w:numPr>
      </w:pPr>
      <w:proofErr w:type="gramStart"/>
      <w:r>
        <w:t>par</w:t>
      </w:r>
      <w:proofErr w:type="gramEnd"/>
      <w:r>
        <w:t xml:space="preserve"> une aiguille infectée, en partageant des objets tels que des rasoirs ou des brosses à dents ou par des tatouages ou des piercings qui exposent d'ai</w:t>
      </w:r>
      <w:r w:rsidR="004F7CED">
        <w:t>lleurs aussi à l'</w:t>
      </w:r>
      <w:proofErr w:type="spellStart"/>
      <w:r w:rsidR="004F7CED">
        <w:t>hepatite</w:t>
      </w:r>
      <w:proofErr w:type="spellEnd"/>
      <w:r w:rsidR="004F7CED">
        <w:t xml:space="preserve"> C,</w:t>
      </w:r>
    </w:p>
    <w:p w14:paraId="3D51CAC0" w14:textId="77777777" w:rsidR="004F7CED" w:rsidRDefault="00FE1D04" w:rsidP="004F7CED">
      <w:pPr>
        <w:pStyle w:val="Paragraphedeliste"/>
        <w:numPr>
          <w:ilvl w:val="0"/>
          <w:numId w:val="3"/>
        </w:numPr>
      </w:pPr>
      <w:proofErr w:type="gramStart"/>
      <w:r>
        <w:t>dans</w:t>
      </w:r>
      <w:proofErr w:type="gramEnd"/>
      <w:r>
        <w:t xml:space="preserve"> d'autres pays on peut être exposé à du matériel médical ou dentaire non stérile, ou à des transfusions de sang</w:t>
      </w:r>
      <w:r w:rsidR="004F7CED">
        <w:t>,</w:t>
      </w:r>
    </w:p>
    <w:p w14:paraId="7D62C90F" w14:textId="77777777" w:rsidR="004F7CED" w:rsidRDefault="00FE1D04" w:rsidP="004F7CED">
      <w:pPr>
        <w:pStyle w:val="Paragraphedeliste"/>
        <w:numPr>
          <w:ilvl w:val="0"/>
          <w:numId w:val="3"/>
        </w:numPr>
      </w:pPr>
      <w:proofErr w:type="gramStart"/>
      <w:r>
        <w:t>par</w:t>
      </w:r>
      <w:proofErr w:type="gramEnd"/>
      <w:r>
        <w:t xml:space="preserve"> les liquides corporels, habituellement échangés lors de rapports sexuels non protégés ou alors par contact proche avec un porteur dans la famille (contact direct ou partage d'objets tels q</w:t>
      </w:r>
      <w:r w:rsidR="004F7CED">
        <w:t>ue rasoir ou brosse à dent),</w:t>
      </w:r>
    </w:p>
    <w:p w14:paraId="454E619D" w14:textId="0668CBE5" w:rsidR="004F7CED" w:rsidRDefault="00FE1D04" w:rsidP="004F7CED">
      <w:pPr>
        <w:pStyle w:val="Paragraphedeliste"/>
        <w:numPr>
          <w:ilvl w:val="0"/>
          <w:numId w:val="3"/>
        </w:numPr>
      </w:pPr>
      <w:proofErr w:type="gramStart"/>
      <w:r>
        <w:t>de</w:t>
      </w:r>
      <w:proofErr w:type="gramEnd"/>
      <w:r>
        <w:t xml:space="preserve"> la mère à l'enfant, si la mère est infectée au moment de la naissance. </w:t>
      </w:r>
      <w:r w:rsidR="004F7CED">
        <w:br w:type="page"/>
      </w:r>
    </w:p>
    <w:p w14:paraId="4B1140CE" w14:textId="497032F7" w:rsidR="0013023E" w:rsidRDefault="004F7CED">
      <w:r w:rsidRPr="009E039A">
        <w:rPr>
          <w:rFonts w:cs="Arial"/>
          <w:b/>
          <w:bCs/>
          <w:noProof/>
          <w:lang w:eastAsia="fr-FR"/>
        </w:rPr>
        <w:lastRenderedPageBreak/>
        <w:drawing>
          <wp:anchor distT="0" distB="0" distL="114300" distR="114300" simplePos="0" relativeHeight="251666432" behindDoc="0" locked="0" layoutInCell="1" allowOverlap="1" wp14:anchorId="59F05C3B" wp14:editId="25B99D02">
            <wp:simplePos x="0" y="0"/>
            <wp:positionH relativeFrom="column">
              <wp:posOffset>6212205</wp:posOffset>
            </wp:positionH>
            <wp:positionV relativeFrom="paragraph">
              <wp:posOffset>-299720</wp:posOffset>
            </wp:positionV>
            <wp:extent cx="719455" cy="732077"/>
            <wp:effectExtent l="0" t="0" r="4445" b="5080"/>
            <wp:wrapNone/>
            <wp:docPr id="4" name="Imag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lang w:eastAsia="fr-FR"/>
        </w:rPr>
        <mc:AlternateContent>
          <mc:Choice Requires="wps">
            <w:drawing>
              <wp:anchor distT="0" distB="0" distL="114300" distR="114300" simplePos="0" relativeHeight="251664384" behindDoc="1" locked="0" layoutInCell="1" allowOverlap="1" wp14:anchorId="4DA2985A" wp14:editId="3D584D17">
                <wp:simplePos x="0" y="0"/>
                <wp:positionH relativeFrom="column">
                  <wp:posOffset>-270510</wp:posOffset>
                </wp:positionH>
                <wp:positionV relativeFrom="paragraph">
                  <wp:posOffset>-160655</wp:posOffset>
                </wp:positionV>
                <wp:extent cx="7107555" cy="8056033"/>
                <wp:effectExtent l="12700" t="12700" r="17145" b="889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0560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52FD7" id="Rectangle 2" o:spid="_x0000_s1026" style="position:absolute;margin-left:-21.3pt;margin-top:-12.65pt;width:559.65pt;height:6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" filled="f" strokecolor="#1f396c" strokeweight="2.25pt"/>
            </w:pict>
          </mc:Fallback>
        </mc:AlternateContent>
      </w:r>
    </w:p>
    <w:p w14:paraId="60762B32" w14:textId="2D5FA601" w:rsidR="009A0D35" w:rsidRPr="0013023E" w:rsidRDefault="009A0D35" w:rsidP="0013023E">
      <w:pPr>
        <w:pStyle w:val="Titre2"/>
      </w:pPr>
      <w:r>
        <w:t xml:space="preserve">Comment </w:t>
      </w:r>
      <w:r w:rsidR="001C2BDA">
        <w:t xml:space="preserve">peut-on </w:t>
      </w:r>
      <w:r w:rsidR="00FE1D04">
        <w:t>réduire les risques de transmission</w:t>
      </w:r>
      <w:r>
        <w:t xml:space="preserve"> ? </w:t>
      </w:r>
    </w:p>
    <w:p w14:paraId="64284FDA" w14:textId="32B5402C" w:rsidR="004F7CED" w:rsidRDefault="00FE1D04" w:rsidP="001C2BDA">
      <w:r>
        <w:t xml:space="preserve">On peut prévenir l'hépatite B par la vaccination. </w:t>
      </w:r>
      <w:r w:rsidR="00D20A22" w:rsidRPr="00D20A22">
        <w:t>En France, ce vaccin est obligatoire pour tous les enfants nés depuis le 1er janvier 2018 et pour les professions à risque comme les professionnels de santé. Il est recommandé en rattrapage chez les enfants et adol</w:t>
      </w:r>
      <w:r w:rsidR="00D20A22">
        <w:t>escents jusqu'à l'âge de 15 ans</w:t>
      </w:r>
      <w:bookmarkStart w:id="0" w:name="_GoBack"/>
      <w:bookmarkEnd w:id="0"/>
      <w:r>
        <w:t xml:space="preserve">. On peut également diminuer les </w:t>
      </w:r>
      <w:r w:rsidR="004F7CED">
        <w:t>risques de transmission en :</w:t>
      </w:r>
    </w:p>
    <w:p w14:paraId="49E3A32E" w14:textId="77777777" w:rsidR="004F7CED" w:rsidRDefault="00FE1D04" w:rsidP="004F7CED">
      <w:pPr>
        <w:pStyle w:val="Paragraphedeliste"/>
        <w:numPr>
          <w:ilvl w:val="0"/>
          <w:numId w:val="4"/>
        </w:numPr>
      </w:pPr>
      <w:proofErr w:type="gramStart"/>
      <w:r>
        <w:t>évitant</w:t>
      </w:r>
      <w:proofErr w:type="gramEnd"/>
      <w:r>
        <w:t xml:space="preserve"> de partager des objets d'hygiène tels que rasoirs et brosses à d</w:t>
      </w:r>
      <w:r w:rsidR="004F7CED">
        <w:t>ents avec d'autres personnes,</w:t>
      </w:r>
    </w:p>
    <w:p w14:paraId="735F19E5" w14:textId="77777777" w:rsidR="004F7CED" w:rsidRDefault="00FE1D04" w:rsidP="004F7CED">
      <w:pPr>
        <w:pStyle w:val="Paragraphedeliste"/>
        <w:numPr>
          <w:ilvl w:val="0"/>
          <w:numId w:val="4"/>
        </w:numPr>
      </w:pPr>
      <w:proofErr w:type="gramStart"/>
      <w:r>
        <w:t>recouvrant</w:t>
      </w:r>
      <w:proofErr w:type="gramEnd"/>
      <w:r>
        <w:t xml:space="preserve"> les </w:t>
      </w:r>
      <w:r w:rsidR="004F7CED">
        <w:t>coupures et les égratignures,</w:t>
      </w:r>
    </w:p>
    <w:p w14:paraId="55A992F6" w14:textId="77777777" w:rsidR="004F7CED" w:rsidRDefault="00FE1D04" w:rsidP="004F7CED">
      <w:pPr>
        <w:pStyle w:val="Paragraphedeliste"/>
        <w:numPr>
          <w:ilvl w:val="0"/>
          <w:numId w:val="4"/>
        </w:numPr>
      </w:pPr>
      <w:proofErr w:type="gramStart"/>
      <w:r>
        <w:t>portant</w:t>
      </w:r>
      <w:proofErr w:type="gramEnd"/>
      <w:r>
        <w:t xml:space="preserve"> des vêtements protecteurs et en particulier des gants</w:t>
      </w:r>
      <w:r w:rsidR="004F7CED">
        <w:t xml:space="preserve"> pour soigner les blessures,</w:t>
      </w:r>
    </w:p>
    <w:p w14:paraId="2BCF6D41" w14:textId="77777777" w:rsidR="004F7CED" w:rsidRDefault="00FE1D04" w:rsidP="004F7CED">
      <w:pPr>
        <w:pStyle w:val="Paragraphedeliste"/>
        <w:numPr>
          <w:ilvl w:val="0"/>
          <w:numId w:val="4"/>
        </w:numPr>
      </w:pPr>
      <w:proofErr w:type="gramStart"/>
      <w:r>
        <w:t>en</w:t>
      </w:r>
      <w:proofErr w:type="gramEnd"/>
      <w:r>
        <w:t xml:space="preserve"> se protégeant en utilisant un préservatif masculin ou fémi</w:t>
      </w:r>
      <w:r w:rsidR="004F7CED">
        <w:t>nin lors des rapports sexuels,</w:t>
      </w:r>
    </w:p>
    <w:p w14:paraId="119D1F8B" w14:textId="1022B054" w:rsidR="004F7CED" w:rsidRDefault="00FE1D04" w:rsidP="004F7CED">
      <w:pPr>
        <w:pStyle w:val="Paragraphedeliste"/>
        <w:numPr>
          <w:ilvl w:val="0"/>
          <w:numId w:val="4"/>
        </w:numPr>
      </w:pPr>
      <w:proofErr w:type="gramStart"/>
      <w:r>
        <w:t>en</w:t>
      </w:r>
      <w:proofErr w:type="gramEnd"/>
      <w:r>
        <w:t xml:space="preserve"> jetant le matériel médical contondant (aiguilles, seringues</w:t>
      </w:r>
      <w:r w:rsidR="004F7CED">
        <w:t>) dans des récipients spéciaux.</w:t>
      </w:r>
    </w:p>
    <w:p w14:paraId="25D57447" w14:textId="77777777" w:rsidR="004F7CED" w:rsidRPr="004F7CED" w:rsidRDefault="004F7CED" w:rsidP="001C2BDA"/>
    <w:p w14:paraId="28DD7B2D" w14:textId="6CDA668D" w:rsidR="009E039A" w:rsidRPr="004F7CED" w:rsidRDefault="009E039A" w:rsidP="004F7CED">
      <w:pPr>
        <w:pStyle w:val="Titre2"/>
      </w:pPr>
      <w:r w:rsidRPr="004F7CED">
        <w:rPr>
          <w:rFonts w:eastAsiaTheme="minorHAnsi"/>
        </w:rPr>
        <w:t>Existe-t-il un traitement</w:t>
      </w:r>
      <w:r w:rsidR="004B2322" w:rsidRPr="004F7CED">
        <w:rPr>
          <w:rFonts w:eastAsiaTheme="minorHAnsi"/>
        </w:rPr>
        <w:t> ?</w:t>
      </w:r>
    </w:p>
    <w:p w14:paraId="19E88D27" w14:textId="10079B1A" w:rsidR="00351909" w:rsidRDefault="00FE1D04" w:rsidP="009E039A">
      <w:r>
        <w:t xml:space="preserve">Il n'existe pas de traitement spécifique ; 90 % des cas guérissent tous seuls. </w:t>
      </w: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781"/>
    <w:multiLevelType w:val="hybridMultilevel"/>
    <w:tmpl w:val="36E2C608"/>
    <w:lvl w:ilvl="0" w:tplc="A13887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8B1567"/>
    <w:multiLevelType w:val="hybridMultilevel"/>
    <w:tmpl w:val="A6E08BBA"/>
    <w:lvl w:ilvl="0" w:tplc="A13887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9272F0"/>
    <w:multiLevelType w:val="hybridMultilevel"/>
    <w:tmpl w:val="48960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13023E"/>
    <w:rsid w:val="001C2BDA"/>
    <w:rsid w:val="001C4959"/>
    <w:rsid w:val="00245F87"/>
    <w:rsid w:val="002D0FEC"/>
    <w:rsid w:val="00351909"/>
    <w:rsid w:val="00395505"/>
    <w:rsid w:val="003B4638"/>
    <w:rsid w:val="003B58E5"/>
    <w:rsid w:val="003F6F1F"/>
    <w:rsid w:val="00455FE0"/>
    <w:rsid w:val="004B2322"/>
    <w:rsid w:val="004F7CED"/>
    <w:rsid w:val="00527848"/>
    <w:rsid w:val="005434A0"/>
    <w:rsid w:val="005C0E6C"/>
    <w:rsid w:val="005F4150"/>
    <w:rsid w:val="00605B92"/>
    <w:rsid w:val="007078F1"/>
    <w:rsid w:val="00803376"/>
    <w:rsid w:val="0089069C"/>
    <w:rsid w:val="009A0D35"/>
    <w:rsid w:val="009E039A"/>
    <w:rsid w:val="00A15FF9"/>
    <w:rsid w:val="00A709E0"/>
    <w:rsid w:val="00AC4438"/>
    <w:rsid w:val="00B9130D"/>
    <w:rsid w:val="00BA1AFD"/>
    <w:rsid w:val="00BC34B6"/>
    <w:rsid w:val="00C91113"/>
    <w:rsid w:val="00D20A22"/>
    <w:rsid w:val="00D234F3"/>
    <w:rsid w:val="00FE1450"/>
    <w:rsid w:val="00FE1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7A0089B7-C6EE-4C58-8103-7F0F3C6D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CED"/>
    <w:pPr>
      <w:spacing w:line="276" w:lineRule="auto"/>
    </w:pPr>
    <w:rPr>
      <w:rFonts w:ascii="Arial" w:hAnsi="Arial"/>
    </w:rPr>
  </w:style>
  <w:style w:type="paragraph" w:styleId="Titre2">
    <w:name w:val="heading 2"/>
    <w:basedOn w:val="Normal"/>
    <w:next w:val="Normal"/>
    <w:link w:val="Titre2Car"/>
    <w:autoRedefine/>
    <w:uiPriority w:val="9"/>
    <w:unhideWhenUsed/>
    <w:qFormat/>
    <w:rsid w:val="004F7CED"/>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7CED"/>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BA1AFD"/>
    <w:rPr>
      <w:rFonts w:ascii="Tahoma" w:hAnsi="Tahoma" w:cs="Tahoma"/>
      <w:sz w:val="16"/>
      <w:szCs w:val="16"/>
    </w:rPr>
  </w:style>
  <w:style w:type="character" w:customStyle="1" w:styleId="TextedebullesCar">
    <w:name w:val="Texte de bulles Car"/>
    <w:basedOn w:val="Policepardfaut"/>
    <w:link w:val="Textedebulles"/>
    <w:uiPriority w:val="99"/>
    <w:semiHidden/>
    <w:rsid w:val="00BA1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antmicrobes.com/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3</cp:revision>
  <dcterms:created xsi:type="dcterms:W3CDTF">2023-11-14T13:58:00Z</dcterms:created>
  <dcterms:modified xsi:type="dcterms:W3CDTF">2025-03-14T15:25:00Z</dcterms:modified>
</cp:coreProperties>
</file>