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DD8" w:rsidRPr="00C60DD8" w:rsidRDefault="00C60DD8" w:rsidP="00C60DD8">
      <w:pPr>
        <w:spacing w:after="0" w:line="276" w:lineRule="auto"/>
        <w:jc w:val="center"/>
        <w:outlineLvl w:val="0"/>
        <w:rPr>
          <w:rFonts w:ascii="Arial" w:eastAsia="Calibri" w:hAnsi="Arial" w:cs="Arial"/>
          <w:b/>
          <w:i/>
          <w:sz w:val="44"/>
          <w:szCs w:val="44"/>
        </w:rPr>
      </w:pPr>
      <w:r w:rsidRPr="00C60DD8">
        <w:rPr>
          <w:rFonts w:ascii="Arial" w:eastAsia="Calibri" w:hAnsi="Arial" w:cs="Arial"/>
          <w:b/>
          <w:noProof/>
          <w:sz w:val="44"/>
          <w:szCs w:val="44"/>
          <w:lang w:eastAsia="fr-FR"/>
        </w:rPr>
        <w:drawing>
          <wp:anchor distT="0" distB="0" distL="114300" distR="114300" simplePos="0" relativeHeight="251660288" behindDoc="0" locked="0" layoutInCell="1" allowOverlap="1" wp14:anchorId="0F554FE4" wp14:editId="56E6A981">
            <wp:simplePos x="0" y="0"/>
            <wp:positionH relativeFrom="column">
              <wp:posOffset>6187440</wp:posOffset>
            </wp:positionH>
            <wp:positionV relativeFrom="paragraph">
              <wp:posOffset>53975</wp:posOffset>
            </wp:positionV>
            <wp:extent cx="772160" cy="692785"/>
            <wp:effectExtent l="0" t="0" r="8890" b="0"/>
            <wp:wrapNone/>
            <wp:docPr id="3" name="Image 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0DD8">
        <w:rPr>
          <w:rFonts w:ascii="Arial" w:eastAsia="Calibri" w:hAnsi="Arial" w:cs="Arial"/>
          <w:b/>
          <w:sz w:val="44"/>
          <w:szCs w:val="44"/>
        </w:rPr>
        <w:t>Hygiène des mains</w:t>
      </w:r>
    </w:p>
    <w:p w:rsidR="00C60DD8" w:rsidRPr="00C60DD8" w:rsidRDefault="00C60DD8" w:rsidP="00C60DD8">
      <w:pPr>
        <w:keepNext/>
        <w:spacing w:before="240" w:after="60" w:line="276" w:lineRule="auto"/>
        <w:outlineLvl w:val="1"/>
        <w:rPr>
          <w:rFonts w:ascii="Arial" w:eastAsia="Times New Roman" w:hAnsi="Arial" w:cs="Arial"/>
          <w:b/>
          <w:bCs/>
          <w:i/>
          <w:iCs/>
          <w:color w:val="000000"/>
          <w:sz w:val="28"/>
          <w:szCs w:val="28"/>
        </w:rPr>
      </w:pPr>
      <w:r w:rsidRPr="00C60DD8">
        <w:rPr>
          <w:rFonts w:ascii="Arial" w:eastAsia="Times New Roman" w:hAnsi="Arial" w:cs="Arial"/>
          <w:b/>
          <w:bCs/>
          <w:iCs/>
          <w:noProof/>
          <w:color w:val="000000"/>
          <w:sz w:val="28"/>
          <w:szCs w:val="28"/>
          <w:lang w:eastAsia="fr-FR"/>
        </w:rPr>
        <mc:AlternateContent>
          <mc:Choice Requires="wps">
            <w:drawing>
              <wp:anchor distT="0" distB="0" distL="114300" distR="114300" simplePos="0" relativeHeight="251659264" behindDoc="1" locked="0" layoutInCell="1" allowOverlap="1" wp14:anchorId="6A01A53C" wp14:editId="5C2CD3CC">
                <wp:simplePos x="0" y="0"/>
                <wp:positionH relativeFrom="column">
                  <wp:posOffset>-260350</wp:posOffset>
                </wp:positionH>
                <wp:positionV relativeFrom="paragraph">
                  <wp:posOffset>66040</wp:posOffset>
                </wp:positionV>
                <wp:extent cx="7035800" cy="8985250"/>
                <wp:effectExtent l="19050" t="19050" r="12700" b="25400"/>
                <wp:wrapNone/>
                <wp:docPr id="2" name="Rectangl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5800" cy="89852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9E357" id="Rectangle 2" o:spid="_x0000_s1026" style="position:absolute;margin-left:-20.5pt;margin-top:5.2pt;width:554pt;height:7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" filled="f" strokecolor="#1f396c" strokeweight="2.25pt">
                <v:path arrowok="t"/>
              </v:rect>
            </w:pict>
          </mc:Fallback>
        </mc:AlternateContent>
      </w:r>
      <w:r w:rsidRPr="00C60DD8">
        <w:rPr>
          <w:rFonts w:ascii="Arial" w:eastAsia="Times New Roman" w:hAnsi="Arial" w:cs="Arial"/>
          <w:b/>
          <w:bCs/>
          <w:iCs/>
          <w:color w:val="000000"/>
          <w:sz w:val="28"/>
          <w:szCs w:val="28"/>
        </w:rPr>
        <w:t>Liens avec le programme national</w:t>
      </w:r>
    </w:p>
    <w:p w:rsidR="00C60DD8" w:rsidRPr="00C60DD8" w:rsidRDefault="00C60DD8" w:rsidP="00C60DD8">
      <w:pPr>
        <w:spacing w:after="0" w:line="276" w:lineRule="auto"/>
        <w:rPr>
          <w:rFonts w:ascii="Arial" w:eastAsia="Times New Roman" w:hAnsi="Arial" w:cs="Arial"/>
          <w:sz w:val="24"/>
          <w:szCs w:val="24"/>
          <w:u w:val="single"/>
          <w:lang w:eastAsia="fr-FR"/>
        </w:rPr>
      </w:pPr>
    </w:p>
    <w:p w:rsidR="00C60DD8" w:rsidRPr="00C60DD8" w:rsidRDefault="00C60DD8" w:rsidP="00C60DD8">
      <w:pPr>
        <w:spacing w:after="0" w:line="276" w:lineRule="auto"/>
        <w:rPr>
          <w:rFonts w:ascii="Arial" w:eastAsia="Times New Roman" w:hAnsi="Arial" w:cs="Arial"/>
          <w:sz w:val="24"/>
          <w:szCs w:val="24"/>
          <w:u w:val="single"/>
          <w:lang w:eastAsia="fr-FR"/>
        </w:rPr>
        <w:sectPr w:rsidR="00C60DD8" w:rsidRPr="00C60DD8" w:rsidSect="00C60DD8">
          <w:footerReference w:type="default" r:id="rId6"/>
          <w:pgSz w:w="11906" w:h="16838"/>
          <w:pgMar w:top="720" w:right="720" w:bottom="720" w:left="720" w:header="708" w:footer="283" w:gutter="0"/>
          <w:cols w:space="710"/>
          <w:docGrid w:linePitch="360"/>
        </w:sectPr>
      </w:pPr>
    </w:p>
    <w:p w:rsidR="00C60DD8" w:rsidRPr="00C60DD8" w:rsidRDefault="00C60DD8" w:rsidP="00C60DD8">
      <w:pPr>
        <w:spacing w:after="0" w:line="276" w:lineRule="auto"/>
        <w:rPr>
          <w:rFonts w:ascii="Arial" w:eastAsia="Times New Roman" w:hAnsi="Arial" w:cs="Arial"/>
          <w:sz w:val="24"/>
          <w:szCs w:val="24"/>
          <w:u w:val="single"/>
          <w:lang w:eastAsia="fr-FR"/>
        </w:rPr>
      </w:pPr>
      <w:r w:rsidRPr="00C60DD8">
        <w:rPr>
          <w:rFonts w:ascii="Arial" w:eastAsia="Times New Roman" w:hAnsi="Arial" w:cs="Arial"/>
          <w:sz w:val="24"/>
          <w:szCs w:val="24"/>
          <w:u w:val="single"/>
          <w:lang w:eastAsia="fr-FR"/>
        </w:rPr>
        <w:t>Cycle 3 : cycle de consolidation</w:t>
      </w:r>
    </w:p>
    <w:p w:rsidR="00C60DD8" w:rsidRPr="00C60DD8" w:rsidRDefault="00C60DD8" w:rsidP="00C60DD8">
      <w:pPr>
        <w:spacing w:after="0" w:line="276" w:lineRule="auto"/>
        <w:rPr>
          <w:rFonts w:ascii="Arial" w:eastAsia="Times New Roman" w:hAnsi="Arial" w:cs="Arial"/>
          <w:sz w:val="24"/>
          <w:szCs w:val="24"/>
          <w:lang w:eastAsia="fr-FR"/>
        </w:rPr>
      </w:pPr>
      <w:r w:rsidRPr="00C60DD8">
        <w:rPr>
          <w:rFonts w:ascii="Arial" w:eastAsia="Times New Roman" w:hAnsi="Arial" w:cs="Arial"/>
          <w:sz w:val="24"/>
          <w:szCs w:val="24"/>
          <w:lang w:eastAsia="fr-FR"/>
        </w:rPr>
        <w:t>Sciences et technologies BOEN n°25 du 22 juin 2023</w:t>
      </w:r>
    </w:p>
    <w:p w:rsidR="00C60DD8" w:rsidRPr="00C60DD8" w:rsidRDefault="00C60DD8" w:rsidP="00C60DD8">
      <w:pPr>
        <w:numPr>
          <w:ilvl w:val="0"/>
          <w:numId w:val="1"/>
        </w:numPr>
        <w:spacing w:after="0" w:line="276" w:lineRule="auto"/>
        <w:rPr>
          <w:rFonts w:ascii="Arial" w:eastAsia="Times New Roman" w:hAnsi="Arial" w:cs="Arial"/>
          <w:sz w:val="24"/>
          <w:szCs w:val="24"/>
          <w:lang w:eastAsia="fr-FR"/>
        </w:rPr>
      </w:pPr>
      <w:r w:rsidRPr="00C60DD8">
        <w:rPr>
          <w:rFonts w:ascii="Arial" w:eastAsia="Times New Roman" w:hAnsi="Arial" w:cs="Arial"/>
          <w:sz w:val="24"/>
          <w:szCs w:val="24"/>
          <w:lang w:eastAsia="fr-FR"/>
        </w:rPr>
        <w:t>Conséquences des actions humaines sur l’environnement</w:t>
      </w:r>
    </w:p>
    <w:p w:rsidR="00C60DD8" w:rsidRPr="00C60DD8" w:rsidRDefault="00C60DD8" w:rsidP="00C60DD8">
      <w:pPr>
        <w:spacing w:after="0" w:line="276" w:lineRule="auto"/>
        <w:ind w:left="360"/>
        <w:rPr>
          <w:rFonts w:ascii="Arial" w:eastAsia="Times New Roman" w:hAnsi="Arial" w:cs="Arial"/>
          <w:sz w:val="24"/>
          <w:szCs w:val="24"/>
          <w:lang w:eastAsia="fr-FR"/>
        </w:rPr>
      </w:pPr>
      <w:r w:rsidRPr="00C60DD8">
        <w:rPr>
          <w:rFonts w:ascii="Arial" w:eastAsia="Times New Roman" w:hAnsi="Arial" w:cs="Arial"/>
          <w:sz w:val="24"/>
          <w:szCs w:val="24"/>
          <w:lang w:eastAsia="fr-FR"/>
        </w:rPr>
        <w:t>S’impliquer dans des actions et des projets relatifs à l’éducation au développement durable sur un thème au choix (alimentation responsable, santé, …)</w:t>
      </w:r>
    </w:p>
    <w:p w:rsidR="00C60DD8" w:rsidRPr="00C60DD8" w:rsidRDefault="00C60DD8" w:rsidP="00C60DD8">
      <w:pPr>
        <w:spacing w:after="0" w:line="276" w:lineRule="auto"/>
        <w:rPr>
          <w:rFonts w:ascii="Arial" w:eastAsia="Times New Roman" w:hAnsi="Arial" w:cs="Arial"/>
          <w:sz w:val="24"/>
          <w:szCs w:val="24"/>
          <w:lang w:eastAsia="fr-FR"/>
        </w:rPr>
      </w:pPr>
      <w:r w:rsidRPr="00C60DD8">
        <w:rPr>
          <w:rFonts w:ascii="Arial" w:eastAsia="Times New Roman" w:hAnsi="Arial" w:cs="Arial"/>
          <w:sz w:val="24"/>
          <w:szCs w:val="24"/>
          <w:lang w:eastAsia="fr-FR"/>
        </w:rPr>
        <w:t>Éducation morale et civique</w:t>
      </w:r>
    </w:p>
    <w:p w:rsidR="00C60DD8" w:rsidRPr="00C60DD8" w:rsidRDefault="00C60DD8" w:rsidP="00C60DD8">
      <w:pPr>
        <w:numPr>
          <w:ilvl w:val="0"/>
          <w:numId w:val="1"/>
        </w:numPr>
        <w:spacing w:after="0" w:line="276" w:lineRule="auto"/>
        <w:contextualSpacing/>
        <w:rPr>
          <w:rFonts w:ascii="Arial" w:eastAsia="Times New Roman" w:hAnsi="Arial" w:cs="Arial"/>
          <w:sz w:val="24"/>
          <w:szCs w:val="24"/>
          <w:lang w:eastAsia="fr-FR"/>
        </w:rPr>
      </w:pPr>
      <w:r w:rsidRPr="00C60DD8">
        <w:rPr>
          <w:rFonts w:ascii="Arial" w:eastAsia="Times New Roman" w:hAnsi="Arial" w:cs="Arial"/>
          <w:sz w:val="24"/>
          <w:szCs w:val="24"/>
          <w:lang w:eastAsia="fr-FR"/>
        </w:rPr>
        <w:t>Le respect d’autrui (Le respect du corps, de l’environnement immédiat et plus lointain).</w:t>
      </w:r>
    </w:p>
    <w:p w:rsidR="00C60DD8" w:rsidRPr="00C60DD8" w:rsidRDefault="00C60DD8" w:rsidP="00C60DD8">
      <w:pPr>
        <w:spacing w:after="0" w:line="276" w:lineRule="auto"/>
        <w:ind w:left="360"/>
        <w:rPr>
          <w:rFonts w:ascii="Arial" w:eastAsia="Times New Roman" w:hAnsi="Arial" w:cs="Arial"/>
          <w:sz w:val="18"/>
          <w:szCs w:val="24"/>
          <w:lang w:eastAsia="fr-FR"/>
        </w:rPr>
      </w:pPr>
    </w:p>
    <w:p w:rsidR="00C60DD8" w:rsidRPr="00C60DD8" w:rsidRDefault="00C60DD8" w:rsidP="00C60DD8">
      <w:pPr>
        <w:spacing w:after="0" w:line="276" w:lineRule="auto"/>
        <w:rPr>
          <w:rFonts w:ascii="Arial" w:eastAsia="Times New Roman" w:hAnsi="Arial" w:cs="Arial"/>
          <w:sz w:val="24"/>
          <w:szCs w:val="24"/>
          <w:u w:val="single"/>
          <w:lang w:eastAsia="fr-FR"/>
        </w:rPr>
      </w:pPr>
      <w:r w:rsidRPr="00C60DD8">
        <w:rPr>
          <w:rFonts w:ascii="Arial" w:eastAsia="Times New Roman" w:hAnsi="Arial" w:cs="Arial"/>
          <w:sz w:val="24"/>
          <w:szCs w:val="24"/>
          <w:u w:val="single"/>
          <w:lang w:eastAsia="fr-FR"/>
        </w:rPr>
        <w:t>Cycles 4 : cycle des approfondissements BO n°31 du 30 juillet 2020</w:t>
      </w:r>
    </w:p>
    <w:p w:rsidR="00C60DD8" w:rsidRPr="00C60DD8" w:rsidRDefault="00C60DD8" w:rsidP="00C60DD8">
      <w:pPr>
        <w:spacing w:after="0" w:line="276" w:lineRule="auto"/>
        <w:rPr>
          <w:rFonts w:ascii="Arial" w:eastAsia="Times New Roman" w:hAnsi="Arial" w:cs="Arial"/>
          <w:sz w:val="24"/>
          <w:szCs w:val="24"/>
          <w:lang w:eastAsia="fr-FR"/>
        </w:rPr>
      </w:pPr>
      <w:r w:rsidRPr="00C60DD8">
        <w:rPr>
          <w:rFonts w:ascii="Arial" w:eastAsia="Times New Roman" w:hAnsi="Arial" w:cs="Arial"/>
          <w:sz w:val="24"/>
          <w:szCs w:val="24"/>
          <w:lang w:eastAsia="fr-FR"/>
        </w:rPr>
        <w:t xml:space="preserve">Sciences de la vie et de la Terre : Le corps humain et la santé : </w:t>
      </w:r>
    </w:p>
    <w:p w:rsidR="00C60DD8" w:rsidRPr="00C60DD8" w:rsidRDefault="00C60DD8" w:rsidP="00C60DD8">
      <w:pPr>
        <w:numPr>
          <w:ilvl w:val="0"/>
          <w:numId w:val="2"/>
        </w:numPr>
        <w:spacing w:after="0" w:line="276" w:lineRule="auto"/>
        <w:rPr>
          <w:rFonts w:ascii="Arial" w:eastAsia="Times New Roman" w:hAnsi="Arial" w:cs="Arial"/>
          <w:sz w:val="24"/>
          <w:szCs w:val="24"/>
          <w:lang w:eastAsia="fr-FR"/>
        </w:rPr>
      </w:pPr>
      <w:r w:rsidRPr="00C60DD8">
        <w:rPr>
          <w:rFonts w:ascii="Arial" w:eastAsia="Times New Roman" w:hAnsi="Arial" w:cs="Arial"/>
          <w:sz w:val="24"/>
          <w:szCs w:val="24"/>
          <w:lang w:eastAsia="fr-FR"/>
        </w:rPr>
        <w:t>Ubiquité, diversité et évolution du monde microbien ;</w:t>
      </w:r>
    </w:p>
    <w:p w:rsidR="00C60DD8" w:rsidRPr="00C60DD8" w:rsidRDefault="00C60DD8" w:rsidP="00C60DD8">
      <w:pPr>
        <w:numPr>
          <w:ilvl w:val="0"/>
          <w:numId w:val="2"/>
        </w:numPr>
        <w:spacing w:after="0" w:line="276" w:lineRule="auto"/>
        <w:rPr>
          <w:rFonts w:ascii="Arial" w:eastAsia="Times New Roman" w:hAnsi="Arial" w:cs="Arial"/>
          <w:sz w:val="24"/>
          <w:szCs w:val="24"/>
          <w:lang w:eastAsia="fr-FR"/>
        </w:rPr>
      </w:pPr>
      <w:r w:rsidRPr="00C60DD8">
        <w:rPr>
          <w:rFonts w:ascii="Arial" w:eastAsia="Times New Roman" w:hAnsi="Arial" w:cs="Arial"/>
          <w:sz w:val="24"/>
          <w:szCs w:val="24"/>
          <w:lang w:eastAsia="fr-FR"/>
        </w:rPr>
        <w:t>Mesures d’hygiène, vaccination, actions des antiseptiques et des antibiotiques ;</w:t>
      </w:r>
    </w:p>
    <w:p w:rsidR="00C60DD8" w:rsidRPr="00C60DD8" w:rsidRDefault="00C60DD8" w:rsidP="00C60DD8">
      <w:pPr>
        <w:numPr>
          <w:ilvl w:val="0"/>
          <w:numId w:val="2"/>
        </w:numPr>
        <w:spacing w:after="0" w:line="276" w:lineRule="auto"/>
        <w:rPr>
          <w:rFonts w:ascii="Arial" w:eastAsia="Times New Roman" w:hAnsi="Arial" w:cs="Arial"/>
          <w:sz w:val="24"/>
          <w:szCs w:val="24"/>
          <w:lang w:eastAsia="fr-FR"/>
        </w:rPr>
      </w:pPr>
      <w:r w:rsidRPr="00C60DD8">
        <w:rPr>
          <w:rFonts w:ascii="Arial" w:eastAsia="Times New Roman" w:hAnsi="Arial" w:cs="Arial"/>
          <w:sz w:val="24"/>
          <w:szCs w:val="24"/>
          <w:lang w:eastAsia="fr-FR"/>
        </w:rPr>
        <w:t>Relier le monde microbien hébergé par notre organisme et son fonctionnement ;</w:t>
      </w:r>
    </w:p>
    <w:p w:rsidR="00C60DD8" w:rsidRPr="00C60DD8" w:rsidRDefault="00C60DD8" w:rsidP="00C60DD8">
      <w:pPr>
        <w:spacing w:after="0" w:line="276" w:lineRule="auto"/>
        <w:ind w:left="360"/>
        <w:rPr>
          <w:rFonts w:ascii="Arial" w:eastAsia="Times New Roman" w:hAnsi="Arial" w:cs="Arial"/>
          <w:sz w:val="24"/>
          <w:szCs w:val="24"/>
          <w:lang w:eastAsia="fr-FR"/>
        </w:rPr>
      </w:pPr>
    </w:p>
    <w:p w:rsidR="00C60DD8" w:rsidRPr="00C60DD8" w:rsidRDefault="00C60DD8" w:rsidP="00C60DD8">
      <w:pPr>
        <w:spacing w:after="0" w:line="276" w:lineRule="auto"/>
        <w:rPr>
          <w:rFonts w:ascii="Arial" w:eastAsia="Times New Roman" w:hAnsi="Arial" w:cs="Arial"/>
          <w:sz w:val="24"/>
          <w:szCs w:val="24"/>
          <w:lang w:eastAsia="fr-FR"/>
        </w:rPr>
      </w:pPr>
      <w:r w:rsidRPr="00C60DD8">
        <w:rPr>
          <w:rFonts w:ascii="Arial" w:eastAsia="Times New Roman" w:hAnsi="Arial" w:cs="Arial"/>
          <w:sz w:val="24"/>
          <w:szCs w:val="24"/>
          <w:lang w:eastAsia="fr-FR"/>
        </w:rPr>
        <w:t>Enseignements pratiques interdisciplinaires : Corps, santé, bien être et sécurité.</w:t>
      </w:r>
    </w:p>
    <w:p w:rsidR="00C60DD8" w:rsidRPr="00C60DD8" w:rsidRDefault="00C60DD8" w:rsidP="00C60DD8">
      <w:pPr>
        <w:spacing w:after="0" w:line="276" w:lineRule="auto"/>
        <w:rPr>
          <w:rFonts w:ascii="Arial" w:eastAsia="Times New Roman" w:hAnsi="Arial" w:cs="Arial"/>
          <w:sz w:val="24"/>
          <w:szCs w:val="24"/>
          <w:lang w:eastAsia="fr-FR"/>
        </w:rPr>
      </w:pPr>
      <w:r w:rsidRPr="00C60DD8">
        <w:rPr>
          <w:rFonts w:ascii="Arial" w:eastAsia="Times New Roman" w:hAnsi="Arial" w:cs="Arial"/>
          <w:sz w:val="24"/>
          <w:szCs w:val="24"/>
          <w:lang w:eastAsia="fr-FR"/>
        </w:rPr>
        <w:t>Éducation morale et civique : Droits et devoirs des citoyens.</w:t>
      </w:r>
    </w:p>
    <w:p w:rsidR="00C60DD8" w:rsidRPr="00C60DD8" w:rsidRDefault="00C60DD8" w:rsidP="00C60DD8">
      <w:pPr>
        <w:spacing w:after="0" w:line="276" w:lineRule="auto"/>
        <w:rPr>
          <w:rFonts w:ascii="Arial" w:eastAsia="Times New Roman" w:hAnsi="Arial" w:cs="Arial"/>
          <w:sz w:val="18"/>
          <w:szCs w:val="24"/>
          <w:lang w:eastAsia="fr-FR"/>
        </w:rPr>
      </w:pPr>
    </w:p>
    <w:p w:rsidR="00C60DD8" w:rsidRPr="00C60DD8" w:rsidRDefault="00C60DD8" w:rsidP="00C60DD8">
      <w:pPr>
        <w:spacing w:after="0" w:line="276" w:lineRule="auto"/>
        <w:rPr>
          <w:rFonts w:ascii="Arial" w:eastAsia="Times New Roman" w:hAnsi="Arial" w:cs="Arial"/>
          <w:sz w:val="24"/>
          <w:szCs w:val="24"/>
          <w:lang w:eastAsia="fr-FR"/>
        </w:rPr>
      </w:pPr>
      <w:r w:rsidRPr="00C60DD8">
        <w:rPr>
          <w:rFonts w:ascii="Arial" w:eastAsia="Times New Roman" w:hAnsi="Arial" w:cs="Arial"/>
          <w:sz w:val="24"/>
          <w:szCs w:val="24"/>
          <w:u w:val="single"/>
          <w:lang w:eastAsia="fr-FR"/>
        </w:rPr>
        <w:t>Cycles 3 et 4</w:t>
      </w:r>
      <w:r w:rsidRPr="00C60DD8">
        <w:rPr>
          <w:rFonts w:ascii="Arial" w:eastAsia="Times New Roman" w:hAnsi="Arial" w:cs="Arial"/>
          <w:sz w:val="24"/>
          <w:szCs w:val="24"/>
          <w:lang w:eastAsia="fr-FR"/>
        </w:rPr>
        <w:t> : Parcours éducatif de santé</w:t>
      </w:r>
    </w:p>
    <w:p w:rsidR="00C60DD8" w:rsidRPr="00C60DD8" w:rsidRDefault="00C60DD8" w:rsidP="00C60DD8">
      <w:pPr>
        <w:spacing w:after="0" w:line="276" w:lineRule="auto"/>
        <w:rPr>
          <w:rFonts w:ascii="Arial" w:eastAsia="Times New Roman" w:hAnsi="Arial" w:cs="Arial"/>
          <w:sz w:val="24"/>
          <w:szCs w:val="24"/>
          <w:lang w:eastAsia="fr-FR"/>
        </w:rPr>
      </w:pPr>
    </w:p>
    <w:p w:rsidR="00C60DD8" w:rsidRPr="00C60DD8" w:rsidRDefault="00C60DD8" w:rsidP="00C60DD8">
      <w:pPr>
        <w:keepNext/>
        <w:spacing w:before="240" w:after="60" w:line="276" w:lineRule="auto"/>
        <w:outlineLvl w:val="1"/>
        <w:rPr>
          <w:rFonts w:ascii="Arial" w:eastAsia="Times New Roman" w:hAnsi="Arial" w:cs="Arial"/>
          <w:b/>
          <w:bCs/>
          <w:iCs/>
          <w:color w:val="000000"/>
          <w:sz w:val="28"/>
          <w:szCs w:val="28"/>
        </w:rPr>
      </w:pPr>
      <w:r w:rsidRPr="00C60DD8">
        <w:rPr>
          <w:rFonts w:ascii="Arial" w:eastAsia="Times New Roman" w:hAnsi="Arial" w:cs="Arial"/>
          <w:b/>
          <w:bCs/>
          <w:iCs/>
          <w:color w:val="000000"/>
          <w:sz w:val="28"/>
          <w:szCs w:val="28"/>
        </w:rPr>
        <w:t>Objectifs d’apprentissage</w:t>
      </w:r>
    </w:p>
    <w:p w:rsidR="00C60DD8" w:rsidRPr="00C60DD8" w:rsidRDefault="00C60DD8" w:rsidP="00C60DD8">
      <w:pPr>
        <w:spacing w:after="200" w:line="276" w:lineRule="auto"/>
        <w:rPr>
          <w:rFonts w:ascii="Calibri" w:eastAsia="Calibri" w:hAnsi="Calibri" w:cs="Times New Roman"/>
        </w:rPr>
      </w:pPr>
    </w:p>
    <w:p w:rsidR="00C60DD8" w:rsidRPr="00C60DD8" w:rsidRDefault="00C60DD8" w:rsidP="00C60DD8">
      <w:pPr>
        <w:spacing w:after="200" w:line="276" w:lineRule="auto"/>
        <w:rPr>
          <w:rFonts w:ascii="Arial" w:eastAsia="Calibri" w:hAnsi="Arial" w:cs="Arial"/>
          <w:b/>
          <w:sz w:val="24"/>
          <w:szCs w:val="24"/>
        </w:rPr>
      </w:pPr>
      <w:r w:rsidRPr="00C60DD8">
        <w:rPr>
          <w:rFonts w:ascii="Arial" w:eastAsia="Calibri" w:hAnsi="Arial" w:cs="Arial"/>
          <w:b/>
          <w:sz w:val="24"/>
          <w:szCs w:val="24"/>
        </w:rPr>
        <w:t>Tous les élèves :</w:t>
      </w:r>
    </w:p>
    <w:p w:rsidR="00C60DD8" w:rsidRPr="00C60DD8" w:rsidRDefault="00C60DD8" w:rsidP="00C60DD8">
      <w:pPr>
        <w:numPr>
          <w:ilvl w:val="0"/>
          <w:numId w:val="3"/>
        </w:numPr>
        <w:spacing w:after="0" w:line="276" w:lineRule="auto"/>
        <w:rPr>
          <w:rFonts w:ascii="Arial" w:eastAsia="Calibri" w:hAnsi="Arial" w:cs="Arial"/>
          <w:sz w:val="24"/>
          <w:szCs w:val="24"/>
        </w:rPr>
      </w:pPr>
      <w:r w:rsidRPr="00C60DD8">
        <w:rPr>
          <w:rFonts w:ascii="Arial" w:eastAsia="Calibri" w:hAnsi="Arial" w:cs="Arial"/>
          <w:sz w:val="24"/>
          <w:szCs w:val="24"/>
        </w:rPr>
        <w:t>comprendront que les infections peuvent être transmises par des mains sales et que, parfois, les microbes peuvent nous rendre malades ;</w:t>
      </w:r>
    </w:p>
    <w:p w:rsidR="00C60DD8" w:rsidRPr="00C60DD8" w:rsidRDefault="00C60DD8" w:rsidP="00C60DD8">
      <w:pPr>
        <w:numPr>
          <w:ilvl w:val="0"/>
          <w:numId w:val="3"/>
        </w:numPr>
        <w:spacing w:after="0" w:line="276" w:lineRule="auto"/>
        <w:rPr>
          <w:rFonts w:ascii="Arial" w:eastAsia="Calibri" w:hAnsi="Arial" w:cs="Arial"/>
          <w:sz w:val="24"/>
          <w:szCs w:val="24"/>
        </w:rPr>
      </w:pPr>
      <w:r w:rsidRPr="00C60DD8">
        <w:rPr>
          <w:rFonts w:ascii="Arial" w:eastAsia="Calibri" w:hAnsi="Arial" w:cs="Arial"/>
          <w:sz w:val="24"/>
          <w:szCs w:val="24"/>
        </w:rPr>
        <w:t>sauront que le lavage des mains peut empêcher la dissémination des infections;</w:t>
      </w:r>
    </w:p>
    <w:p w:rsidR="00C60DD8" w:rsidRPr="00C60DD8" w:rsidRDefault="00C60DD8" w:rsidP="00C60DD8">
      <w:pPr>
        <w:numPr>
          <w:ilvl w:val="0"/>
          <w:numId w:val="3"/>
        </w:numPr>
        <w:spacing w:after="0" w:line="276" w:lineRule="auto"/>
        <w:rPr>
          <w:rFonts w:ascii="Arial" w:eastAsia="Calibri" w:hAnsi="Arial" w:cs="Arial"/>
          <w:sz w:val="24"/>
          <w:szCs w:val="24"/>
        </w:rPr>
      </w:pPr>
      <w:r w:rsidRPr="00C60DD8">
        <w:rPr>
          <w:rFonts w:ascii="Arial" w:eastAsia="Calibri" w:hAnsi="Arial" w:cs="Arial"/>
          <w:sz w:val="24"/>
          <w:szCs w:val="24"/>
        </w:rPr>
        <w:t>sauront comment, quand et pourquoi se laver les mains ;</w:t>
      </w:r>
    </w:p>
    <w:p w:rsidR="00C60DD8" w:rsidRPr="00C60DD8" w:rsidRDefault="00C60DD8" w:rsidP="00C60DD8">
      <w:pPr>
        <w:numPr>
          <w:ilvl w:val="0"/>
          <w:numId w:val="3"/>
        </w:numPr>
        <w:spacing w:after="0" w:line="276" w:lineRule="auto"/>
        <w:rPr>
          <w:rFonts w:ascii="Arial" w:eastAsia="Calibri" w:hAnsi="Arial" w:cs="Arial"/>
          <w:sz w:val="24"/>
          <w:szCs w:val="24"/>
        </w:rPr>
      </w:pPr>
      <w:r w:rsidRPr="00C60DD8">
        <w:rPr>
          <w:rFonts w:ascii="Arial" w:eastAsia="Calibri" w:hAnsi="Arial" w:cs="Arial"/>
          <w:sz w:val="24"/>
          <w:szCs w:val="24"/>
        </w:rPr>
        <w:t>sauront qu’il est préférable de prévenir que guérir une infection, quand cela est possible.</w:t>
      </w:r>
    </w:p>
    <w:p w:rsidR="00C60DD8" w:rsidRPr="00C60DD8" w:rsidRDefault="00C60DD8" w:rsidP="00C60DD8">
      <w:pPr>
        <w:spacing w:after="0" w:line="276" w:lineRule="auto"/>
        <w:rPr>
          <w:rFonts w:ascii="Arial" w:eastAsia="Calibri" w:hAnsi="Arial" w:cs="Arial"/>
          <w:sz w:val="24"/>
          <w:szCs w:val="24"/>
        </w:rPr>
      </w:pPr>
    </w:p>
    <w:p w:rsidR="00C60DD8" w:rsidRPr="00C60DD8" w:rsidRDefault="00C60DD8" w:rsidP="00C60DD8">
      <w:pPr>
        <w:keepNext/>
        <w:spacing w:before="240" w:after="60" w:line="276" w:lineRule="auto"/>
        <w:outlineLvl w:val="1"/>
        <w:rPr>
          <w:rFonts w:ascii="Arial" w:eastAsia="Times New Roman" w:hAnsi="Arial" w:cs="Arial"/>
          <w:b/>
          <w:bCs/>
          <w:iCs/>
          <w:color w:val="000000"/>
          <w:sz w:val="28"/>
          <w:szCs w:val="28"/>
        </w:rPr>
      </w:pPr>
      <w:r w:rsidRPr="00C60DD8">
        <w:rPr>
          <w:rFonts w:ascii="Arial" w:eastAsia="Times New Roman" w:hAnsi="Arial" w:cs="Arial"/>
          <w:b/>
          <w:bCs/>
          <w:iCs/>
          <w:color w:val="000000"/>
          <w:sz w:val="28"/>
          <w:szCs w:val="28"/>
        </w:rPr>
        <w:t>Durée estimée d’enseignement</w:t>
      </w:r>
    </w:p>
    <w:p w:rsidR="00C60DD8" w:rsidRPr="00C60DD8" w:rsidRDefault="00C60DD8" w:rsidP="00C60DD8">
      <w:pPr>
        <w:spacing w:after="200" w:line="276" w:lineRule="auto"/>
        <w:ind w:left="720" w:hanging="720"/>
        <w:contextualSpacing/>
        <w:rPr>
          <w:rFonts w:ascii="Arial" w:eastAsia="Calibri" w:hAnsi="Arial" w:cs="Arial"/>
          <w:sz w:val="24"/>
          <w:szCs w:val="24"/>
        </w:rPr>
      </w:pPr>
      <w:r w:rsidRPr="00C60DD8">
        <w:rPr>
          <w:rFonts w:ascii="Arial" w:eastAsia="Calibri" w:hAnsi="Arial" w:cs="Arial"/>
          <w:sz w:val="24"/>
          <w:szCs w:val="24"/>
        </w:rPr>
        <w:t>50 minutes</w:t>
      </w:r>
    </w:p>
    <w:p w:rsidR="00C60DD8" w:rsidRPr="00C60DD8" w:rsidRDefault="00C60DD8" w:rsidP="00C60DD8">
      <w:pPr>
        <w:spacing w:after="200" w:line="276" w:lineRule="auto"/>
        <w:ind w:left="720" w:hanging="720"/>
        <w:contextualSpacing/>
        <w:rPr>
          <w:rFonts w:ascii="Arial" w:eastAsia="Calibri" w:hAnsi="Arial" w:cs="Arial"/>
          <w:sz w:val="24"/>
          <w:szCs w:val="24"/>
        </w:rPr>
      </w:pPr>
    </w:p>
    <w:p w:rsidR="00C60DD8" w:rsidRPr="00C60DD8" w:rsidRDefault="00C60DD8" w:rsidP="00C60DD8">
      <w:pPr>
        <w:spacing w:after="200" w:line="276" w:lineRule="auto"/>
        <w:ind w:left="720" w:hanging="720"/>
        <w:contextualSpacing/>
        <w:rPr>
          <w:rFonts w:ascii="Arial" w:eastAsia="Calibri" w:hAnsi="Arial" w:cs="Arial"/>
          <w:sz w:val="24"/>
          <w:szCs w:val="24"/>
        </w:rPr>
      </w:pPr>
    </w:p>
    <w:p w:rsidR="00C60DD8" w:rsidRPr="00C60DD8" w:rsidRDefault="00C60DD8" w:rsidP="00C60DD8">
      <w:pPr>
        <w:spacing w:after="200" w:line="276" w:lineRule="auto"/>
        <w:ind w:left="720" w:hanging="720"/>
        <w:contextualSpacing/>
        <w:rPr>
          <w:rFonts w:ascii="Arial" w:eastAsia="Calibri" w:hAnsi="Arial" w:cs="Arial"/>
          <w:sz w:val="24"/>
          <w:szCs w:val="24"/>
        </w:rPr>
      </w:pPr>
    </w:p>
    <w:p w:rsidR="00C60DD8" w:rsidRPr="00C60DD8" w:rsidRDefault="00C60DD8" w:rsidP="00C60DD8">
      <w:pPr>
        <w:spacing w:after="200" w:line="276" w:lineRule="auto"/>
        <w:ind w:left="720" w:hanging="720"/>
        <w:contextualSpacing/>
        <w:rPr>
          <w:rFonts w:ascii="Arial" w:eastAsia="Calibri" w:hAnsi="Arial" w:cs="Arial"/>
          <w:sz w:val="24"/>
          <w:szCs w:val="24"/>
        </w:rPr>
      </w:pPr>
    </w:p>
    <w:p w:rsidR="00C60DD8" w:rsidRPr="00C60DD8" w:rsidRDefault="00C60DD8" w:rsidP="00C60DD8">
      <w:pPr>
        <w:spacing w:after="200" w:line="276" w:lineRule="auto"/>
        <w:ind w:left="720" w:hanging="720"/>
        <w:contextualSpacing/>
        <w:rPr>
          <w:rFonts w:ascii="Arial" w:eastAsia="Calibri" w:hAnsi="Arial" w:cs="Arial"/>
          <w:sz w:val="24"/>
          <w:szCs w:val="24"/>
        </w:rPr>
      </w:pPr>
    </w:p>
    <w:p w:rsidR="00C60DD8" w:rsidRPr="00C60DD8" w:rsidRDefault="00C60DD8" w:rsidP="00C60DD8">
      <w:pPr>
        <w:spacing w:after="200" w:line="276" w:lineRule="auto"/>
        <w:ind w:left="720" w:hanging="720"/>
        <w:contextualSpacing/>
        <w:rPr>
          <w:rFonts w:ascii="Arial" w:eastAsia="Calibri" w:hAnsi="Arial" w:cs="Arial"/>
          <w:sz w:val="24"/>
          <w:szCs w:val="24"/>
        </w:rPr>
      </w:pPr>
    </w:p>
    <w:p w:rsidR="00C60DD8" w:rsidRPr="00C60DD8" w:rsidRDefault="00C60DD8" w:rsidP="00C60DD8">
      <w:pPr>
        <w:spacing w:after="200" w:line="276" w:lineRule="auto"/>
        <w:contextualSpacing/>
        <w:rPr>
          <w:rFonts w:ascii="Arial" w:eastAsia="Calibri" w:hAnsi="Arial" w:cs="Arial"/>
          <w:sz w:val="24"/>
          <w:szCs w:val="24"/>
        </w:rPr>
      </w:pPr>
    </w:p>
    <w:p w:rsidR="00C60DD8" w:rsidRPr="00C60DD8" w:rsidRDefault="00C60DD8" w:rsidP="00C60DD8">
      <w:pPr>
        <w:spacing w:after="200" w:line="276" w:lineRule="auto"/>
        <w:contextualSpacing/>
        <w:rPr>
          <w:rFonts w:ascii="Arial" w:eastAsia="Calibri" w:hAnsi="Arial" w:cs="Arial"/>
          <w:sz w:val="24"/>
          <w:szCs w:val="24"/>
        </w:rPr>
        <w:sectPr w:rsidR="00C60DD8" w:rsidRPr="00C60DD8" w:rsidSect="00DF1438">
          <w:type w:val="continuous"/>
          <w:pgSz w:w="11906" w:h="16838"/>
          <w:pgMar w:top="720" w:right="720" w:bottom="720" w:left="720" w:header="708" w:footer="708" w:gutter="0"/>
          <w:cols w:space="284"/>
          <w:docGrid w:linePitch="360"/>
        </w:sectPr>
      </w:pPr>
    </w:p>
    <w:p w:rsidR="00C60DD8" w:rsidRPr="00C60DD8" w:rsidRDefault="00C60DD8" w:rsidP="00C60DD8">
      <w:pPr>
        <w:keepNext/>
        <w:spacing w:before="240" w:after="60" w:line="276" w:lineRule="auto"/>
        <w:outlineLvl w:val="1"/>
        <w:rPr>
          <w:rFonts w:ascii="Arial" w:eastAsia="Times New Roman" w:hAnsi="Arial" w:cs="Arial"/>
          <w:b/>
          <w:bCs/>
          <w:i/>
          <w:iCs/>
          <w:color w:val="000000"/>
          <w:sz w:val="28"/>
          <w:szCs w:val="28"/>
        </w:rPr>
      </w:pPr>
      <w:r w:rsidRPr="00C60DD8">
        <w:rPr>
          <w:rFonts w:ascii="Arial" w:eastAsia="Times New Roman" w:hAnsi="Arial" w:cs="Times New Roman"/>
          <w:b/>
          <w:bCs/>
          <w:iCs/>
          <w:noProof/>
          <w:color w:val="000000"/>
          <w:sz w:val="28"/>
          <w:szCs w:val="28"/>
          <w:lang w:eastAsia="fr-FR"/>
        </w:rPr>
        <w:lastRenderedPageBreak/>
        <w:drawing>
          <wp:anchor distT="0" distB="0" distL="114300" distR="114300" simplePos="0" relativeHeight="251662336" behindDoc="0" locked="0" layoutInCell="1" allowOverlap="1" wp14:anchorId="0D902D00" wp14:editId="6F1B0AC0">
            <wp:simplePos x="0" y="0"/>
            <wp:positionH relativeFrom="column">
              <wp:posOffset>5638800</wp:posOffset>
            </wp:positionH>
            <wp:positionV relativeFrom="paragraph">
              <wp:posOffset>-600075</wp:posOffset>
            </wp:positionV>
            <wp:extent cx="772160" cy="692785"/>
            <wp:effectExtent l="0" t="0" r="8890" b="0"/>
            <wp:wrapNone/>
            <wp:docPr id="28" name="Image 9">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pic:cNvPr>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0DD8">
        <w:rPr>
          <w:rFonts w:ascii="Arial" w:eastAsia="Times New Roman" w:hAnsi="Arial" w:cs="Arial"/>
          <w:b/>
          <w:bCs/>
          <w:iCs/>
          <w:noProof/>
          <w:color w:val="000000"/>
          <w:sz w:val="28"/>
          <w:szCs w:val="28"/>
          <w:lang w:eastAsia="fr-FR"/>
        </w:rPr>
        <mc:AlternateContent>
          <mc:Choice Requires="wps">
            <w:drawing>
              <wp:anchor distT="0" distB="0" distL="114300" distR="114300" simplePos="0" relativeHeight="251661312" behindDoc="1" locked="0" layoutInCell="1" allowOverlap="1" wp14:anchorId="3EC6339E" wp14:editId="54B70D90">
                <wp:simplePos x="0" y="0"/>
                <wp:positionH relativeFrom="column">
                  <wp:posOffset>-452120</wp:posOffset>
                </wp:positionH>
                <wp:positionV relativeFrom="paragraph">
                  <wp:posOffset>-290195</wp:posOffset>
                </wp:positionV>
                <wp:extent cx="6686550" cy="3771900"/>
                <wp:effectExtent l="19050" t="19050" r="19050" b="19050"/>
                <wp:wrapNone/>
                <wp:docPr id="27" name="Rectangle 2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6550" cy="37719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DC26C" id="Rectangle 27" o:spid="_x0000_s1026" style="position:absolute;margin-left:-35.6pt;margin-top:-22.85pt;width:526.5pt;height:29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" filled="f" strokecolor="#1f396c" strokeweight="2.25pt">
                <v:path arrowok="t"/>
              </v:rect>
            </w:pict>
          </mc:Fallback>
        </mc:AlternateContent>
      </w:r>
      <w:r w:rsidRPr="00C60DD8">
        <w:rPr>
          <w:rFonts w:ascii="Arial" w:eastAsia="Times New Roman" w:hAnsi="Arial" w:cs="Arial"/>
          <w:b/>
          <w:bCs/>
          <w:iCs/>
          <w:color w:val="000000"/>
          <w:sz w:val="28"/>
          <w:szCs w:val="28"/>
        </w:rPr>
        <w:t>Description</w:t>
      </w:r>
    </w:p>
    <w:p w:rsidR="00C60DD8" w:rsidRPr="00C60DD8" w:rsidRDefault="00C60DD8" w:rsidP="00C60DD8">
      <w:pPr>
        <w:spacing w:after="0" w:line="276" w:lineRule="auto"/>
        <w:rPr>
          <w:rFonts w:ascii="Arial" w:eastAsia="Times New Roman" w:hAnsi="Arial" w:cs="Arial"/>
          <w:sz w:val="24"/>
          <w:szCs w:val="24"/>
          <w:lang w:eastAsia="fr-FR"/>
        </w:rPr>
      </w:pPr>
      <w:r w:rsidRPr="00C60DD8">
        <w:rPr>
          <w:rFonts w:ascii="Arial" w:eastAsia="Times New Roman" w:hAnsi="Arial" w:cs="Arial"/>
          <w:sz w:val="24"/>
          <w:szCs w:val="24"/>
          <w:lang w:eastAsia="fr-FR"/>
        </w:rPr>
        <w:t>La section « Transmission des infections » est destinée à enseigner aux élèves comment des gestes d’hygiène simples peuvent limiter la transmission des microbes et des infections.</w:t>
      </w:r>
    </w:p>
    <w:p w:rsidR="00C60DD8" w:rsidRPr="00C60DD8" w:rsidRDefault="00C60DD8" w:rsidP="00C60DD8">
      <w:pPr>
        <w:spacing w:after="0" w:line="276" w:lineRule="auto"/>
        <w:rPr>
          <w:rFonts w:ascii="Arial" w:eastAsia="Times New Roman" w:hAnsi="Arial" w:cs="Arial"/>
          <w:sz w:val="24"/>
          <w:szCs w:val="24"/>
          <w:lang w:eastAsia="fr-FR"/>
        </w:rPr>
      </w:pPr>
      <w:r w:rsidRPr="00C60DD8">
        <w:rPr>
          <w:rFonts w:ascii="Arial" w:eastAsia="Times New Roman" w:hAnsi="Arial" w:cs="Arial"/>
          <w:sz w:val="24"/>
          <w:szCs w:val="24"/>
          <w:lang w:eastAsia="fr-FR"/>
        </w:rPr>
        <w:t xml:space="preserve">Dans l’activité « Hygiène des mains », les élèves examineront des photos d’une expérience de cultures d’empreintes de mains sales et propres déjà réalisée dans une classe. </w:t>
      </w:r>
    </w:p>
    <w:p w:rsidR="00C60DD8" w:rsidRPr="00C60DD8" w:rsidRDefault="00C60DD8" w:rsidP="00C60DD8">
      <w:pPr>
        <w:spacing w:after="0" w:line="276" w:lineRule="auto"/>
        <w:rPr>
          <w:rFonts w:ascii="Arial" w:eastAsia="Times New Roman" w:hAnsi="Arial" w:cs="Arial"/>
          <w:sz w:val="24"/>
          <w:szCs w:val="24"/>
          <w:lang w:eastAsia="fr-FR"/>
        </w:rPr>
      </w:pPr>
    </w:p>
    <w:p w:rsidR="00C60DD8" w:rsidRPr="00C60DD8" w:rsidRDefault="00C60DD8" w:rsidP="00C60DD8">
      <w:pPr>
        <w:spacing w:after="0" w:line="276" w:lineRule="auto"/>
        <w:rPr>
          <w:rFonts w:ascii="Arial" w:eastAsia="Times New Roman" w:hAnsi="Arial" w:cs="Arial"/>
          <w:sz w:val="24"/>
          <w:szCs w:val="24"/>
          <w:lang w:eastAsia="fr-FR"/>
        </w:rPr>
      </w:pPr>
      <w:r w:rsidRPr="00C60DD8">
        <w:rPr>
          <w:rFonts w:ascii="Arial" w:eastAsia="Times New Roman" w:hAnsi="Arial" w:cs="Arial"/>
          <w:sz w:val="24"/>
          <w:szCs w:val="24"/>
          <w:lang w:eastAsia="fr-FR"/>
        </w:rPr>
        <w:t>Dans un deuxième temps, ils observeront comment les microbes peuvent passer d’une personne à une autre simplement en se serrant la main.</w:t>
      </w:r>
    </w:p>
    <w:p w:rsidR="00C60DD8" w:rsidRPr="00C60DD8" w:rsidRDefault="00C60DD8" w:rsidP="00C60DD8">
      <w:pPr>
        <w:spacing w:after="0" w:line="276" w:lineRule="auto"/>
        <w:rPr>
          <w:rFonts w:ascii="Arial" w:eastAsia="Times New Roman" w:hAnsi="Arial" w:cs="Arial"/>
          <w:sz w:val="24"/>
          <w:szCs w:val="24"/>
          <w:lang w:eastAsia="fr-FR"/>
        </w:rPr>
      </w:pPr>
    </w:p>
    <w:p w:rsidR="00C60DD8" w:rsidRPr="00C60DD8" w:rsidRDefault="00C60DD8" w:rsidP="00C60DD8">
      <w:pPr>
        <w:spacing w:after="0" w:line="276" w:lineRule="auto"/>
        <w:rPr>
          <w:rFonts w:ascii="Arial" w:eastAsia="Times New Roman" w:hAnsi="Arial" w:cs="Arial"/>
          <w:sz w:val="24"/>
          <w:szCs w:val="24"/>
          <w:lang w:eastAsia="fr-FR"/>
        </w:rPr>
      </w:pPr>
      <w:r w:rsidRPr="00C60DD8">
        <w:rPr>
          <w:rFonts w:ascii="Arial" w:eastAsia="Times New Roman" w:hAnsi="Arial" w:cs="Arial"/>
          <w:sz w:val="24"/>
          <w:szCs w:val="24"/>
          <w:lang w:eastAsia="fr-FR"/>
        </w:rPr>
        <w:t>Les activités complémentaires sont basées sur des recherches sur des produits antibactériens, sur la différence de mortalité due aux maladies infectieuses dans les pays en voie de développement et les pays industrialisés. L’activité alternative propose une enquête au collège concernant la transmission d’une gastro-entérite aiguë.</w:t>
      </w:r>
    </w:p>
    <w:p w:rsidR="00160C02" w:rsidRPr="00C60DD8" w:rsidRDefault="00160C02" w:rsidP="00C60DD8">
      <w:pPr>
        <w:spacing w:after="0" w:line="276" w:lineRule="auto"/>
        <w:rPr>
          <w:rFonts w:ascii="Arial" w:eastAsia="Times New Roman" w:hAnsi="Arial" w:cs="Arial"/>
          <w:sz w:val="24"/>
          <w:szCs w:val="24"/>
          <w:lang w:eastAsia="fr-FR"/>
        </w:rPr>
      </w:pPr>
      <w:bookmarkStart w:id="0" w:name="_GoBack"/>
      <w:bookmarkEnd w:id="0"/>
    </w:p>
    <w:sectPr w:rsidR="00160C02" w:rsidRPr="00C60D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E45" w:rsidRPr="00BC55DD" w:rsidRDefault="00C60DD8" w:rsidP="00BC55DD">
    <w:pPr>
      <w:pStyle w:val="Pieddepage"/>
      <w:jc w:val="right"/>
      <w:rPr>
        <w:rFonts w:ascii="Arial" w:hAnsi="Arial" w:cs="Arial"/>
        <w:sz w:val="24"/>
        <w:szCs w:val="24"/>
      </w:rPr>
    </w:pPr>
    <w:r w:rsidRPr="00BC55DD">
      <w:rPr>
        <w:rFonts w:ascii="Arial" w:hAnsi="Arial" w:cs="Arial"/>
        <w:sz w:val="24"/>
        <w:szCs w:val="24"/>
      </w:rPr>
      <w:t>Ressources e-Bug – Collèges – Hygiène des mains</w:t>
    </w:r>
    <w:r w:rsidRPr="00BC55DD">
      <w:rPr>
        <w:rFonts w:ascii="Arial" w:hAnsi="Arial" w:cs="Arial"/>
        <w:sz w:val="24"/>
        <w:szCs w:val="24"/>
      </w:rPr>
      <w:tab/>
    </w:r>
    <w:r w:rsidRPr="00BC55DD">
      <w:rPr>
        <w:rFonts w:ascii="Arial" w:hAnsi="Arial" w:cs="Arial"/>
        <w:sz w:val="24"/>
        <w:szCs w:val="24"/>
      </w:rPr>
      <w:tab/>
    </w:r>
    <w:r w:rsidRPr="00BC55DD">
      <w:rPr>
        <w:rFonts w:ascii="Arial" w:hAnsi="Arial" w:cs="Arial"/>
        <w:sz w:val="24"/>
        <w:szCs w:val="24"/>
      </w:rPr>
      <w:tab/>
    </w:r>
    <w:sdt>
      <w:sdtPr>
        <w:rPr>
          <w:rFonts w:ascii="Arial" w:hAnsi="Arial" w:cs="Arial"/>
          <w:sz w:val="24"/>
          <w:szCs w:val="24"/>
        </w:rPr>
        <w:id w:val="-2052910157"/>
        <w:docPartObj>
          <w:docPartGallery w:val="Page Numbers (Bottom of Page)"/>
          <w:docPartUnique/>
        </w:docPartObj>
      </w:sdtPr>
      <w:sdtEndPr/>
      <w:sdtContent>
        <w:r w:rsidRPr="00BC55DD">
          <w:rPr>
            <w:rFonts w:ascii="Arial" w:hAnsi="Arial" w:cs="Arial"/>
            <w:sz w:val="24"/>
            <w:szCs w:val="24"/>
          </w:rPr>
          <w:fldChar w:fldCharType="begin"/>
        </w:r>
        <w:r w:rsidRPr="00BC55DD">
          <w:rPr>
            <w:rFonts w:ascii="Arial" w:hAnsi="Arial" w:cs="Arial"/>
            <w:sz w:val="24"/>
            <w:szCs w:val="24"/>
          </w:rPr>
          <w:instrText>PAGE   \* MERGEFORMAT</w:instrText>
        </w:r>
        <w:r w:rsidRPr="00BC55DD">
          <w:rPr>
            <w:rFonts w:ascii="Arial" w:hAnsi="Arial" w:cs="Arial"/>
            <w:sz w:val="24"/>
            <w:szCs w:val="24"/>
          </w:rPr>
          <w:fldChar w:fldCharType="separate"/>
        </w:r>
        <w:r>
          <w:rPr>
            <w:rFonts w:ascii="Arial" w:hAnsi="Arial" w:cs="Arial"/>
            <w:noProof/>
            <w:sz w:val="24"/>
            <w:szCs w:val="24"/>
          </w:rPr>
          <w:t>1</w:t>
        </w:r>
        <w:r w:rsidRPr="00BC55DD">
          <w:rPr>
            <w:rFonts w:ascii="Arial" w:hAnsi="Arial" w:cs="Arial"/>
            <w:sz w:val="24"/>
            <w:szCs w:val="24"/>
          </w:rPr>
          <w:fldChar w:fldCharType="end"/>
        </w:r>
      </w:sdtContent>
    </w:sdt>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C23"/>
    <w:multiLevelType w:val="hybridMultilevel"/>
    <w:tmpl w:val="93A0D0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ED631F7"/>
    <w:multiLevelType w:val="hybridMultilevel"/>
    <w:tmpl w:val="4E2C68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DD8"/>
    <w:rsid w:val="00160C02"/>
    <w:rsid w:val="00C60D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23F2"/>
  <w15:chartTrackingRefBased/>
  <w15:docId w15:val="{B040A35E-B79F-45FF-8590-F1E0D3DC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60DD8"/>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uiPriority w:val="99"/>
    <w:rsid w:val="00C60DD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353</Words>
  <Characters>1943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1</cp:revision>
  <dcterms:created xsi:type="dcterms:W3CDTF">2025-05-16T12:03:00Z</dcterms:created>
  <dcterms:modified xsi:type="dcterms:W3CDTF">2025-05-16T12:08:00Z</dcterms:modified>
</cp:coreProperties>
</file>