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C39E5" w14:textId="2CCC0648" w:rsidR="00A124C6" w:rsidRPr="00B0355A" w:rsidRDefault="00626387" w:rsidP="00A124C6">
      <w:pPr>
        <w:pStyle w:val="Titre1"/>
      </w:pPr>
      <w:r>
        <w:t>5 Une Seule Santé</w:t>
      </w:r>
    </w:p>
    <w:p w14:paraId="3C25BE8A" w14:textId="1AA1384F" w:rsidR="00A124C6" w:rsidRDefault="00357EEA" w:rsidP="00A124C6">
      <w:pPr>
        <w:pStyle w:val="Titre1"/>
      </w:pPr>
      <w:r w:rsidRPr="00626387">
        <w:rPr>
          <w:rFonts w:eastAsia="Times New Roman"/>
          <w:b w:val="0"/>
          <w:bCs/>
          <w:i/>
          <w:iCs/>
          <w:noProof/>
          <w:sz w:val="24"/>
          <w:szCs w:val="24"/>
          <w:lang w:eastAsia="fr-FR"/>
        </w:rPr>
        <mc:AlternateContent>
          <mc:Choice Requires="wps">
            <w:drawing>
              <wp:anchor distT="0" distB="0" distL="114300" distR="114300" simplePos="0" relativeHeight="251655680" behindDoc="1" locked="0" layoutInCell="1" allowOverlap="1" wp14:anchorId="351695E8" wp14:editId="63EE188A">
                <wp:simplePos x="0" y="0"/>
                <wp:positionH relativeFrom="column">
                  <wp:posOffset>-240665</wp:posOffset>
                </wp:positionH>
                <wp:positionV relativeFrom="paragraph">
                  <wp:posOffset>320764</wp:posOffset>
                </wp:positionV>
                <wp:extent cx="7038975" cy="9254490"/>
                <wp:effectExtent l="12700" t="12700" r="0" b="3810"/>
                <wp:wrapNone/>
                <wp:docPr id="7" name="Rectangle 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25449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6271F" id="Rectangle 7" o:spid="_x0000_s1026" style="position:absolute;margin-left:-18.95pt;margin-top:25.25pt;width:554.25pt;height:72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" filled="f" strokecolor="#1f396c" strokeweight="2.25pt">
                <v:path arrowok="t"/>
              </v:rect>
            </w:pict>
          </mc:Fallback>
        </mc:AlternateContent>
      </w:r>
      <w:r>
        <w:rPr>
          <w:noProof/>
          <w:lang w:eastAsia="fr-FR"/>
        </w:rPr>
        <w:drawing>
          <wp:anchor distT="0" distB="0" distL="114300" distR="114300" simplePos="0" relativeHeight="251651584" behindDoc="0" locked="0" layoutInCell="1" allowOverlap="1" wp14:anchorId="2F0DFF14" wp14:editId="63164733">
            <wp:simplePos x="0" y="0"/>
            <wp:positionH relativeFrom="column">
              <wp:posOffset>6139638</wp:posOffset>
            </wp:positionH>
            <wp:positionV relativeFrom="paragraph">
              <wp:posOffset>229589</wp:posOffset>
            </wp:positionV>
            <wp:extent cx="772160" cy="692785"/>
            <wp:effectExtent l="0" t="0" r="0" b="0"/>
            <wp:wrapNone/>
            <wp:docPr id="3"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83287C">
        <w:t>Plan du cours</w:t>
      </w:r>
      <w:r w:rsidR="00A124C6">
        <w:t xml:space="preserve"> - </w:t>
      </w:r>
      <w:r w:rsidR="0083287C">
        <w:t>Guide enseignant (GE</w:t>
      </w:r>
      <w:r w:rsidR="00E33459">
        <w:t>3</w:t>
      </w:r>
      <w:r w:rsidR="00A124C6" w:rsidRPr="00647506">
        <w:t>)</w:t>
      </w:r>
    </w:p>
    <w:p w14:paraId="32B957AA" w14:textId="7ADA0FE8" w:rsidR="00626387" w:rsidRDefault="00626387" w:rsidP="00357EEA">
      <w:pPr>
        <w:spacing w:after="0" w:line="240" w:lineRule="auto"/>
        <w:jc w:val="both"/>
        <w:rPr>
          <w:rFonts w:ascii="Arial" w:eastAsia="Times New Roman" w:hAnsi="Arial" w:cs="Arial"/>
          <w:b/>
          <w:bCs/>
          <w:sz w:val="28"/>
          <w:szCs w:val="28"/>
        </w:rPr>
      </w:pPr>
      <w:r w:rsidRPr="00626387">
        <w:rPr>
          <w:rFonts w:ascii="Arial" w:eastAsia="Times New Roman" w:hAnsi="Arial" w:cs="Arial"/>
          <w:b/>
          <w:bCs/>
          <w:sz w:val="28"/>
          <w:szCs w:val="28"/>
        </w:rPr>
        <w:t>Activité</w:t>
      </w:r>
      <w:r w:rsidRPr="00626387">
        <w:rPr>
          <w:rFonts w:ascii="Arial" w:eastAsia="Times New Roman" w:hAnsi="Arial" w:cs="Arial"/>
          <w:bCs/>
          <w:i/>
          <w:iCs/>
          <w:sz w:val="24"/>
          <w:szCs w:val="24"/>
        </w:rPr>
        <w:t xml:space="preserve"> </w:t>
      </w:r>
      <w:r w:rsidRPr="00626387">
        <w:rPr>
          <w:rFonts w:ascii="Arial" w:eastAsia="Times New Roman" w:hAnsi="Arial" w:cs="Arial"/>
          <w:b/>
          <w:bCs/>
          <w:sz w:val="28"/>
          <w:szCs w:val="28"/>
        </w:rPr>
        <w:t>principale</w:t>
      </w:r>
    </w:p>
    <w:p w14:paraId="79C8E393" w14:textId="77777777" w:rsidR="00626387" w:rsidRPr="00357EEA" w:rsidRDefault="00626387" w:rsidP="00357EEA">
      <w:pPr>
        <w:ind w:left="360"/>
        <w:rPr>
          <w:rFonts w:ascii="Arial" w:hAnsi="Arial" w:cs="Arial"/>
          <w:b/>
          <w:sz w:val="24"/>
        </w:rPr>
      </w:pPr>
      <w:r w:rsidRPr="00626387">
        <w:rPr>
          <w:rFonts w:ascii="Arial" w:hAnsi="Arial" w:cs="Arial"/>
          <w:b/>
          <w:sz w:val="24"/>
        </w:rPr>
        <w:t>Enquêtes</w:t>
      </w:r>
    </w:p>
    <w:p w14:paraId="2ACF8892" w14:textId="77777777" w:rsidR="00626387" w:rsidRPr="00357EEA" w:rsidRDefault="00626387" w:rsidP="00357EEA">
      <w:pPr>
        <w:rPr>
          <w:rFonts w:ascii="Arial" w:hAnsi="Arial" w:cs="Arial"/>
          <w:sz w:val="24"/>
          <w:szCs w:val="18"/>
        </w:rPr>
      </w:pPr>
      <w:r w:rsidRPr="00357EEA">
        <w:rPr>
          <w:rFonts w:ascii="Arial" w:hAnsi="Arial" w:cs="Arial"/>
          <w:sz w:val="24"/>
          <w:szCs w:val="18"/>
        </w:rPr>
        <w:t>Dans cette activité, plusieurs scénarios mettent en scène diverses situations pour illustrer le concept « Une seule santé » : soins aux animaux de compagnie, maladies des animaux domestiques ou sauvages, nouveaux agents pathogènes, risques liés au voyage, risques liés à l’environnement, menaces pesant sur l’environnement, résistance bactérienne aux antibiotiques.</w:t>
      </w:r>
    </w:p>
    <w:p w14:paraId="76B720C7" w14:textId="77777777" w:rsidR="00626387" w:rsidRPr="00357EEA" w:rsidRDefault="00626387" w:rsidP="00357EEA">
      <w:pPr>
        <w:rPr>
          <w:rFonts w:ascii="Arial" w:hAnsi="Arial" w:cs="Arial"/>
          <w:sz w:val="24"/>
          <w:szCs w:val="18"/>
        </w:rPr>
      </w:pPr>
      <w:r w:rsidRPr="00357EEA">
        <w:rPr>
          <w:rFonts w:ascii="Arial" w:hAnsi="Arial" w:cs="Arial"/>
          <w:sz w:val="24"/>
          <w:szCs w:val="18"/>
        </w:rPr>
        <w:t>Ils sont suivis de questions, pour mieux mettre en évidence la problématique décrite et comprendre comment y répondre. Il est possible de soumettre aux élèves des scénarios, choisis selon les critères correspondant aux thèmes particuliers qui auront été sélectionnés.</w:t>
      </w:r>
    </w:p>
    <w:p w14:paraId="6A716707" w14:textId="77777777" w:rsidR="00626387" w:rsidRPr="00357EEA" w:rsidRDefault="00626387" w:rsidP="00357EEA">
      <w:pPr>
        <w:rPr>
          <w:rFonts w:ascii="Arial" w:hAnsi="Arial" w:cs="Arial"/>
          <w:sz w:val="24"/>
          <w:szCs w:val="18"/>
        </w:rPr>
      </w:pPr>
      <w:r w:rsidRPr="00357EEA">
        <w:rPr>
          <w:rFonts w:ascii="Arial" w:hAnsi="Arial" w:cs="Arial"/>
          <w:sz w:val="24"/>
          <w:szCs w:val="18"/>
        </w:rPr>
        <w:t>Cependant, il est important, quelles que soient les situations présentées, de mettre l’accent sur les interactions étroites entre l’humain, l’animal et l’environnement.</w:t>
      </w:r>
    </w:p>
    <w:p w14:paraId="1B8A7799" w14:textId="77777777" w:rsidR="00626387" w:rsidRPr="00357EEA" w:rsidRDefault="00626387" w:rsidP="00357EEA">
      <w:pPr>
        <w:rPr>
          <w:rFonts w:ascii="Arial" w:hAnsi="Arial" w:cs="Arial"/>
          <w:sz w:val="24"/>
          <w:szCs w:val="18"/>
        </w:rPr>
      </w:pPr>
      <w:r w:rsidRPr="00357EEA">
        <w:rPr>
          <w:rFonts w:ascii="Arial" w:hAnsi="Arial" w:cs="Arial"/>
          <w:sz w:val="24"/>
          <w:szCs w:val="18"/>
        </w:rPr>
        <w:t>Les élèves peuvent mener leurs enquêtes sur un ou plusieurs scénarios, en petits groupes ou seuls, puis exposer leurs résultats à l’ensemble de la classe.</w:t>
      </w:r>
    </w:p>
    <w:p w14:paraId="3AEE4C13" w14:textId="2D4329ED" w:rsidR="00626387" w:rsidRPr="00357EEA" w:rsidRDefault="00626387" w:rsidP="00357EEA">
      <w:pPr>
        <w:rPr>
          <w:rFonts w:ascii="Arial" w:hAnsi="Arial" w:cs="Arial"/>
          <w:sz w:val="24"/>
          <w:szCs w:val="18"/>
        </w:rPr>
      </w:pPr>
      <w:r w:rsidRPr="00357EEA">
        <w:rPr>
          <w:rFonts w:ascii="Arial" w:hAnsi="Arial" w:cs="Arial"/>
          <w:sz w:val="24"/>
          <w:szCs w:val="18"/>
        </w:rPr>
        <w:t>Pour chaque scénario, des liens Internet sont proposés pour faciliter la recherche des réponses aux questions posées, mais les élèves peuvent, bien entendu aussi, trouver leurs propres sources d’information qu’ils devront indiquer.</w:t>
      </w:r>
    </w:p>
    <w:p w14:paraId="7B68EA4E" w14:textId="47DD9EC4" w:rsidR="00626387" w:rsidRPr="00357EEA" w:rsidRDefault="00626387" w:rsidP="00357EEA">
      <w:pPr>
        <w:keepNext/>
        <w:spacing w:before="240" w:after="60"/>
        <w:outlineLvl w:val="1"/>
        <w:rPr>
          <w:rFonts w:ascii="Arial" w:eastAsia="Times New Roman" w:hAnsi="Arial" w:cs="Arial"/>
          <w:b/>
          <w:bCs/>
          <w:sz w:val="28"/>
          <w:szCs w:val="28"/>
        </w:rPr>
      </w:pPr>
      <w:r w:rsidRPr="00357EEA">
        <w:rPr>
          <w:rFonts w:ascii="Arial" w:eastAsia="Times New Roman" w:hAnsi="Arial" w:cs="Arial"/>
          <w:b/>
          <w:bCs/>
          <w:sz w:val="28"/>
          <w:szCs w:val="28"/>
        </w:rPr>
        <w:t>Activités</w:t>
      </w:r>
      <w:r w:rsidRPr="00357EEA">
        <w:rPr>
          <w:rFonts w:ascii="Arial" w:eastAsia="Times New Roman" w:hAnsi="Arial" w:cs="Arial"/>
          <w:bCs/>
          <w:i/>
          <w:iCs/>
          <w:sz w:val="24"/>
          <w:szCs w:val="24"/>
        </w:rPr>
        <w:t xml:space="preserve"> </w:t>
      </w:r>
      <w:r w:rsidRPr="00357EEA">
        <w:rPr>
          <w:rFonts w:ascii="Arial" w:eastAsia="Times New Roman" w:hAnsi="Arial" w:cs="Arial"/>
          <w:b/>
          <w:bCs/>
          <w:sz w:val="28"/>
          <w:szCs w:val="28"/>
        </w:rPr>
        <w:t>complémentaires</w:t>
      </w:r>
    </w:p>
    <w:p w14:paraId="590E595A" w14:textId="2868A556" w:rsidR="00626387" w:rsidRPr="00357EEA" w:rsidRDefault="00626387" w:rsidP="00357EEA">
      <w:pPr>
        <w:pStyle w:val="Paragraphedeliste"/>
        <w:numPr>
          <w:ilvl w:val="0"/>
          <w:numId w:val="23"/>
        </w:numPr>
        <w:ind w:left="426"/>
        <w:rPr>
          <w:rFonts w:ascii="Arial" w:hAnsi="Arial" w:cs="Arial"/>
          <w:sz w:val="24"/>
          <w:szCs w:val="24"/>
        </w:rPr>
      </w:pPr>
      <w:r w:rsidRPr="00357EEA">
        <w:rPr>
          <w:rFonts w:ascii="Arial" w:hAnsi="Arial" w:cs="Arial"/>
          <w:sz w:val="24"/>
          <w:szCs w:val="24"/>
        </w:rPr>
        <w:t xml:space="preserve">A l’aide des diapositives n° 10 et 11 dans la présentation « Une seule Santé » sur le site </w:t>
      </w:r>
      <w:hyperlink r:id="rId6" w:history="1">
        <w:r w:rsidR="00926FCA" w:rsidRPr="00357EEA">
          <w:rPr>
            <w:rStyle w:val="Lienhypertexte"/>
            <w:rFonts w:ascii="Arial" w:hAnsi="Arial" w:cs="Arial"/>
            <w:sz w:val="24"/>
            <w:szCs w:val="24"/>
          </w:rPr>
          <w:t>https://e-bug.eu/fr-fr/une-seule-santé</w:t>
        </w:r>
      </w:hyperlink>
      <w:r w:rsidRPr="00357EEA">
        <w:rPr>
          <w:rFonts w:ascii="Arial" w:hAnsi="Arial" w:cs="Arial"/>
          <w:sz w:val="24"/>
          <w:szCs w:val="24"/>
        </w:rPr>
        <w:t>, demander aux élèves de réfléchir à la dernière fois qu’eux ou quelqu’un de leur famille ont pris des antibiotiques, ou en ont donné à leur animal de compagnie, et de construire leur propre schéma concernant la transmission possible de bactéries résistantes aux antibiotiques. Les scénarios 12 et 13 de l’activité principale peuvent également être utiles pour cette activité.</w:t>
      </w:r>
    </w:p>
    <w:p w14:paraId="1686A71E" w14:textId="77777777" w:rsidR="00626387" w:rsidRPr="00357EEA" w:rsidRDefault="00626387" w:rsidP="00357EEA">
      <w:pPr>
        <w:ind w:left="720"/>
        <w:rPr>
          <w:rFonts w:ascii="Arial" w:hAnsi="Arial" w:cs="Arial"/>
          <w:sz w:val="24"/>
          <w:szCs w:val="24"/>
        </w:rPr>
      </w:pPr>
      <w:r w:rsidRPr="00357EEA">
        <w:rPr>
          <w:rFonts w:ascii="Arial" w:hAnsi="Arial" w:cs="Arial"/>
          <w:sz w:val="24"/>
          <w:szCs w:val="24"/>
        </w:rPr>
        <w:t>Le schéma doit représenter :</w:t>
      </w:r>
    </w:p>
    <w:p w14:paraId="46C5E012" w14:textId="77777777" w:rsidR="00626387" w:rsidRPr="00357EEA" w:rsidRDefault="00626387" w:rsidP="00357EEA">
      <w:pPr>
        <w:numPr>
          <w:ilvl w:val="1"/>
          <w:numId w:val="21"/>
        </w:numPr>
        <w:spacing w:after="0"/>
        <w:ind w:left="709"/>
        <w:rPr>
          <w:rFonts w:ascii="Arial" w:hAnsi="Arial" w:cs="Arial"/>
          <w:sz w:val="24"/>
          <w:szCs w:val="24"/>
        </w:rPr>
      </w:pPr>
      <w:r w:rsidRPr="00357EEA">
        <w:rPr>
          <w:rFonts w:ascii="Arial" w:hAnsi="Arial" w:cs="Arial"/>
          <w:sz w:val="24"/>
          <w:szCs w:val="24"/>
        </w:rPr>
        <w:t>la personne/l’animal pour qui les antibiotiques ont été prescrits ;</w:t>
      </w:r>
    </w:p>
    <w:p w14:paraId="3031F8E4" w14:textId="77777777" w:rsidR="00626387" w:rsidRPr="00357EEA" w:rsidRDefault="00626387" w:rsidP="00357EEA">
      <w:pPr>
        <w:numPr>
          <w:ilvl w:val="1"/>
          <w:numId w:val="21"/>
        </w:numPr>
        <w:spacing w:after="0"/>
        <w:ind w:left="709"/>
        <w:rPr>
          <w:rFonts w:ascii="Arial" w:hAnsi="Arial" w:cs="Arial"/>
          <w:sz w:val="24"/>
          <w:szCs w:val="24"/>
        </w:rPr>
      </w:pPr>
      <w:r w:rsidRPr="00357EEA">
        <w:rPr>
          <w:rFonts w:ascii="Arial" w:hAnsi="Arial" w:cs="Arial"/>
          <w:sz w:val="24"/>
          <w:szCs w:val="24"/>
        </w:rPr>
        <w:t>son contact proche avec l’entourage (famille, amis, autres animaux de compagnie, d’élevage ou sauvages) ;</w:t>
      </w:r>
    </w:p>
    <w:p w14:paraId="08262151" w14:textId="77777777" w:rsidR="00626387" w:rsidRPr="00357EEA" w:rsidRDefault="00626387" w:rsidP="00357EEA">
      <w:pPr>
        <w:numPr>
          <w:ilvl w:val="1"/>
          <w:numId w:val="21"/>
        </w:numPr>
        <w:spacing w:after="0"/>
        <w:ind w:left="709"/>
        <w:rPr>
          <w:rFonts w:ascii="Arial" w:hAnsi="Arial" w:cs="Arial"/>
          <w:sz w:val="24"/>
          <w:szCs w:val="24"/>
        </w:rPr>
      </w:pPr>
      <w:r w:rsidRPr="00357EEA">
        <w:rPr>
          <w:rFonts w:ascii="Arial" w:hAnsi="Arial" w:cs="Arial"/>
          <w:sz w:val="24"/>
          <w:szCs w:val="24"/>
        </w:rPr>
        <w:t>l’endroit où la personne/l’animal a été soigné (à la maison/à l’hôpital), en France/à l’étranger ;</w:t>
      </w:r>
    </w:p>
    <w:p w14:paraId="39D8D5C7" w14:textId="77777777" w:rsidR="00626387" w:rsidRPr="00357EEA" w:rsidRDefault="00626387" w:rsidP="00357EEA">
      <w:pPr>
        <w:numPr>
          <w:ilvl w:val="1"/>
          <w:numId w:val="21"/>
        </w:numPr>
        <w:spacing w:after="0"/>
        <w:ind w:left="709"/>
        <w:rPr>
          <w:rFonts w:ascii="Arial" w:hAnsi="Arial" w:cs="Arial"/>
          <w:sz w:val="24"/>
          <w:szCs w:val="24"/>
        </w:rPr>
      </w:pPr>
      <w:r w:rsidRPr="00357EEA">
        <w:rPr>
          <w:rFonts w:ascii="Arial" w:hAnsi="Arial" w:cs="Arial"/>
          <w:sz w:val="24"/>
          <w:szCs w:val="24"/>
        </w:rPr>
        <w:t>les transports publics éventuels (avion, train, métro) ;</w:t>
      </w:r>
    </w:p>
    <w:p w14:paraId="4E8DF35B" w14:textId="77777777" w:rsidR="00626387" w:rsidRPr="00357EEA" w:rsidRDefault="00626387" w:rsidP="00357EEA">
      <w:pPr>
        <w:numPr>
          <w:ilvl w:val="1"/>
          <w:numId w:val="21"/>
        </w:numPr>
        <w:spacing w:after="0"/>
        <w:ind w:left="709"/>
        <w:rPr>
          <w:rFonts w:ascii="Arial" w:hAnsi="Arial" w:cs="Arial"/>
          <w:sz w:val="24"/>
          <w:szCs w:val="24"/>
        </w:rPr>
      </w:pPr>
      <w:r w:rsidRPr="00357EEA">
        <w:rPr>
          <w:rFonts w:ascii="Arial" w:hAnsi="Arial" w:cs="Arial"/>
          <w:sz w:val="24"/>
          <w:szCs w:val="24"/>
        </w:rPr>
        <w:t>ce qui s’est passé pour leurs déjections (toilettes, nature, contamination des cours d’eau, du sol..) ;</w:t>
      </w:r>
    </w:p>
    <w:p w14:paraId="36BDCF83" w14:textId="46FA38F6" w:rsidR="00626387" w:rsidRPr="00357EEA" w:rsidRDefault="00626387" w:rsidP="00357EEA">
      <w:pPr>
        <w:numPr>
          <w:ilvl w:val="1"/>
          <w:numId w:val="21"/>
        </w:numPr>
        <w:ind w:left="709" w:hanging="357"/>
        <w:rPr>
          <w:rFonts w:ascii="Arial" w:hAnsi="Arial" w:cs="Arial"/>
          <w:sz w:val="24"/>
          <w:szCs w:val="24"/>
        </w:rPr>
      </w:pPr>
      <w:proofErr w:type="gramStart"/>
      <w:r w:rsidRPr="00357EEA">
        <w:rPr>
          <w:rFonts w:ascii="Arial" w:hAnsi="Arial" w:cs="Arial"/>
          <w:sz w:val="24"/>
          <w:szCs w:val="24"/>
        </w:rPr>
        <w:t>le</w:t>
      </w:r>
      <w:proofErr w:type="gramEnd"/>
      <w:r w:rsidRPr="00357EEA">
        <w:rPr>
          <w:rFonts w:ascii="Arial" w:hAnsi="Arial" w:cs="Arial"/>
          <w:sz w:val="24"/>
          <w:szCs w:val="24"/>
        </w:rPr>
        <w:t xml:space="preserve"> devenir des restes éventuels du traitement antibiotique.</w:t>
      </w:r>
    </w:p>
    <w:p w14:paraId="2ACEAC2F" w14:textId="091DAE08" w:rsidR="00626387" w:rsidRPr="00357EEA" w:rsidRDefault="00626387" w:rsidP="00357EEA">
      <w:pPr>
        <w:ind w:left="720"/>
        <w:rPr>
          <w:rFonts w:ascii="Arial" w:hAnsi="Arial" w:cs="Arial"/>
          <w:sz w:val="24"/>
          <w:szCs w:val="24"/>
        </w:rPr>
      </w:pPr>
      <w:r w:rsidRPr="00357EEA">
        <w:rPr>
          <w:rFonts w:ascii="Arial" w:hAnsi="Arial" w:cs="Arial"/>
          <w:sz w:val="24"/>
          <w:szCs w:val="24"/>
        </w:rPr>
        <w:t>Relier les différents éléments par des flèches.</w:t>
      </w:r>
    </w:p>
    <w:p w14:paraId="55B04783" w14:textId="42A22D33" w:rsidR="00626387" w:rsidRPr="00357EEA" w:rsidRDefault="00626387" w:rsidP="00357EEA">
      <w:pPr>
        <w:ind w:left="720"/>
        <w:rPr>
          <w:rFonts w:ascii="Arial" w:hAnsi="Arial" w:cs="Arial"/>
          <w:sz w:val="24"/>
          <w:szCs w:val="24"/>
        </w:rPr>
      </w:pPr>
      <w:r w:rsidRPr="00357EEA">
        <w:rPr>
          <w:rFonts w:ascii="Arial" w:hAnsi="Arial" w:cs="Arial"/>
          <w:sz w:val="24"/>
          <w:szCs w:val="24"/>
        </w:rPr>
        <w:t>Proposer et indiquer par un symbole à quelle(s) étape(s) on peut limiter la transmission (ex : par le lavage des mains, par le respect de l’ordonnance d’antibiotiques, en portant les restes d’antibiotiques à la pharmacie...).</w:t>
      </w:r>
    </w:p>
    <w:p w14:paraId="66B44E85" w14:textId="011F884C" w:rsidR="00357EEA" w:rsidRDefault="00357EEA">
      <w:pPr>
        <w:spacing w:after="0" w:line="240" w:lineRule="auto"/>
        <w:rPr>
          <w:rFonts w:ascii="Arial" w:hAnsi="Arial" w:cs="Arial"/>
          <w:sz w:val="24"/>
          <w:szCs w:val="24"/>
        </w:rPr>
      </w:pPr>
      <w:r>
        <w:rPr>
          <w:rFonts w:ascii="Arial" w:hAnsi="Arial" w:cs="Arial"/>
          <w:sz w:val="24"/>
          <w:szCs w:val="24"/>
        </w:rPr>
        <w:br w:type="page"/>
      </w:r>
    </w:p>
    <w:p w14:paraId="31BC80CF" w14:textId="34649416" w:rsidR="00626387" w:rsidRDefault="00357EEA" w:rsidP="00357EEA">
      <w:pPr>
        <w:rPr>
          <w:rFonts w:ascii="Arial" w:hAnsi="Arial" w:cs="Arial"/>
          <w:sz w:val="24"/>
          <w:szCs w:val="24"/>
        </w:rPr>
      </w:pPr>
      <w:bookmarkStart w:id="0" w:name="_GoBack"/>
      <w:r w:rsidRPr="00357EEA">
        <w:rPr>
          <w:rFonts w:ascii="Arial" w:eastAsia="Times New Roman" w:hAnsi="Arial" w:cs="Arial"/>
          <w:b/>
          <w:bCs/>
          <w:i/>
          <w:iCs/>
          <w:noProof/>
          <w:sz w:val="24"/>
          <w:szCs w:val="24"/>
          <w:lang w:eastAsia="fr-FR"/>
        </w:rPr>
        <w:lastRenderedPageBreak/>
        <mc:AlternateContent>
          <mc:Choice Requires="wps">
            <w:drawing>
              <wp:anchor distT="0" distB="0" distL="114300" distR="114300" simplePos="0" relativeHeight="251660800" behindDoc="1" locked="0" layoutInCell="1" allowOverlap="1" wp14:anchorId="75846C90" wp14:editId="156B596E">
                <wp:simplePos x="0" y="0"/>
                <wp:positionH relativeFrom="column">
                  <wp:posOffset>-241300</wp:posOffset>
                </wp:positionH>
                <wp:positionV relativeFrom="paragraph">
                  <wp:posOffset>24750</wp:posOffset>
                </wp:positionV>
                <wp:extent cx="7038975" cy="9254490"/>
                <wp:effectExtent l="19050" t="19050" r="28575" b="22860"/>
                <wp:wrapNone/>
                <wp:docPr id="8" name="Rectangle 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25449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21D2F" id="Rectangle 8" o:spid="_x0000_s1026" style="position:absolute;margin-left:-19pt;margin-top:1.95pt;width:554.25pt;height:72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" filled="f" strokecolor="#1f396c" strokeweight="2.25pt">
                <v:path arrowok="t"/>
              </v:rect>
            </w:pict>
          </mc:Fallback>
        </mc:AlternateContent>
      </w:r>
      <w:bookmarkEnd w:id="0"/>
    </w:p>
    <w:p w14:paraId="34652223" w14:textId="77777777" w:rsidR="00357EEA" w:rsidRPr="00357EEA" w:rsidRDefault="00357EEA" w:rsidP="00357EEA">
      <w:pPr>
        <w:rPr>
          <w:rFonts w:ascii="Arial" w:hAnsi="Arial" w:cs="Arial"/>
          <w:sz w:val="24"/>
          <w:szCs w:val="24"/>
        </w:rPr>
      </w:pPr>
    </w:p>
    <w:p w14:paraId="2E352DAB" w14:textId="29FB9A8B" w:rsidR="00626387" w:rsidRPr="00357EEA" w:rsidRDefault="00357EEA" w:rsidP="00357EEA">
      <w:pPr>
        <w:numPr>
          <w:ilvl w:val="0"/>
          <w:numId w:val="21"/>
        </w:numPr>
        <w:spacing w:after="0"/>
        <w:ind w:left="426"/>
        <w:rPr>
          <w:rFonts w:ascii="Arial" w:hAnsi="Arial" w:cs="Arial"/>
          <w:sz w:val="24"/>
          <w:szCs w:val="24"/>
        </w:rPr>
      </w:pPr>
      <w:r w:rsidRPr="00357EEA">
        <w:rPr>
          <w:rFonts w:ascii="Arial" w:hAnsi="Arial" w:cs="Arial"/>
          <w:noProof/>
          <w:lang w:eastAsia="fr-FR"/>
        </w:rPr>
        <w:drawing>
          <wp:anchor distT="0" distB="0" distL="114300" distR="114300" simplePos="0" relativeHeight="251661824" behindDoc="0" locked="0" layoutInCell="1" allowOverlap="1" wp14:anchorId="2313C16D" wp14:editId="52597B84">
            <wp:simplePos x="0" y="0"/>
            <wp:positionH relativeFrom="column">
              <wp:posOffset>6219146</wp:posOffset>
            </wp:positionH>
            <wp:positionV relativeFrom="page">
              <wp:posOffset>170047</wp:posOffset>
            </wp:positionV>
            <wp:extent cx="772160" cy="692785"/>
            <wp:effectExtent l="0" t="0" r="8890" b="0"/>
            <wp:wrapSquare wrapText="bothSides"/>
            <wp:docPr id="9"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pic:cNvPr>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anchor>
        </w:drawing>
      </w:r>
      <w:r w:rsidR="00626387" w:rsidRPr="00357EEA">
        <w:rPr>
          <w:rFonts w:ascii="Arial" w:hAnsi="Arial" w:cs="Arial"/>
          <w:sz w:val="24"/>
          <w:szCs w:val="24"/>
        </w:rPr>
        <w:t xml:space="preserve">Télécharger la fiche </w:t>
      </w:r>
      <w:hyperlink r:id="rId7" w:anchor="group=6&amp;subgroup=4" w:history="1">
        <w:r w:rsidR="00626387" w:rsidRPr="00357EEA">
          <w:rPr>
            <w:rStyle w:val="CommentaireCar"/>
            <w:rFonts w:ascii="Arial" w:eastAsiaTheme="majorEastAsia" w:hAnsi="Arial" w:cs="Arial"/>
            <w:sz w:val="24"/>
            <w:szCs w:val="24"/>
          </w:rPr>
          <w:t>Maladie de Lyme</w:t>
        </w:r>
      </w:hyperlink>
      <w:r w:rsidR="00626387" w:rsidRPr="00357EEA">
        <w:rPr>
          <w:rFonts w:ascii="Arial" w:hAnsi="Arial" w:cs="Arial"/>
          <w:sz w:val="24"/>
          <w:szCs w:val="24"/>
        </w:rPr>
        <w:t xml:space="preserve"> de </w:t>
      </w:r>
      <w:hyperlink r:id="rId8" w:history="1">
        <w:r w:rsidR="00926FCA" w:rsidRPr="00357EEA">
          <w:rPr>
            <w:rStyle w:val="Lienhypertexte"/>
            <w:rFonts w:ascii="Arial" w:hAnsi="Arial" w:cs="Arial"/>
            <w:sz w:val="24"/>
            <w:szCs w:val="24"/>
          </w:rPr>
          <w:t>https://e-bug.eu</w:t>
        </w:r>
      </w:hyperlink>
      <w:r w:rsidR="00626387" w:rsidRPr="00357EEA">
        <w:rPr>
          <w:rStyle w:val="CommentaireCar"/>
          <w:rFonts w:ascii="Arial" w:eastAsiaTheme="majorEastAsia" w:hAnsi="Arial" w:cs="Arial"/>
          <w:sz w:val="24"/>
          <w:szCs w:val="24"/>
        </w:rPr>
        <w:t xml:space="preserve">. </w:t>
      </w:r>
      <w:r w:rsidR="00626387" w:rsidRPr="00357EEA">
        <w:rPr>
          <w:rFonts w:ascii="Arial" w:hAnsi="Arial" w:cs="Arial"/>
          <w:sz w:val="24"/>
          <w:szCs w:val="24"/>
        </w:rPr>
        <w:t xml:space="preserve">Cette infection est commune aux humains et aux animaux. Demander aux élèves si leur chien/chat a déjà eu des tiques ? Les ont-ils enlevés et comment ? Ont-ils l’habitude de chercher des tiques sur leur animal après une promenade en forêt ? Demander aux élèves de proposer une fiche pour la </w:t>
      </w:r>
      <w:r w:rsidR="00626387" w:rsidRPr="00357EEA">
        <w:rPr>
          <w:rFonts w:ascii="Arial" w:hAnsi="Arial" w:cs="Arial"/>
          <w:sz w:val="24"/>
          <w:szCs w:val="24"/>
          <w:u w:val="single"/>
        </w:rPr>
        <w:t xml:space="preserve">prévention de la Maladie de Lyme chez l’animal </w:t>
      </w:r>
      <w:r w:rsidR="00626387" w:rsidRPr="00357EEA">
        <w:rPr>
          <w:rFonts w:ascii="Arial" w:hAnsi="Arial" w:cs="Arial"/>
          <w:sz w:val="24"/>
          <w:szCs w:val="24"/>
        </w:rPr>
        <w:t>de compagnie. Ils peuvent s’inspirer de la rubrique « Comment peut-on éviter de l'attraper ?» de la fiche e-Bug téléchargée, en soulignant les similitudes et les différences pour l’humain et pour l’animal qu’ils auront trouvé dans leurs recherches sur Internet (voir liens proposés ci-dessous).</w:t>
      </w:r>
    </w:p>
    <w:p w14:paraId="4925BB6F" w14:textId="44A679AE" w:rsidR="00626387" w:rsidRPr="00357EEA" w:rsidRDefault="00626387" w:rsidP="00357EEA">
      <w:pPr>
        <w:rPr>
          <w:rFonts w:ascii="Arial" w:hAnsi="Arial" w:cs="Arial"/>
          <w:sz w:val="24"/>
          <w:szCs w:val="24"/>
        </w:rPr>
      </w:pPr>
    </w:p>
    <w:p w14:paraId="479461A6" w14:textId="08CE3AB4" w:rsidR="00626387" w:rsidRPr="00357EEA" w:rsidRDefault="00626387" w:rsidP="00357EEA">
      <w:pPr>
        <w:numPr>
          <w:ilvl w:val="1"/>
          <w:numId w:val="21"/>
        </w:numPr>
        <w:spacing w:after="0"/>
        <w:rPr>
          <w:rFonts w:ascii="Arial" w:hAnsi="Arial" w:cs="Arial"/>
          <w:sz w:val="24"/>
          <w:szCs w:val="24"/>
        </w:rPr>
      </w:pPr>
      <w:r w:rsidRPr="00357EEA">
        <w:rPr>
          <w:rFonts w:ascii="Arial" w:hAnsi="Arial" w:cs="Arial"/>
          <w:sz w:val="24"/>
          <w:szCs w:val="24"/>
        </w:rPr>
        <w:t>Chez l’humain comme chez l’animal, il faut soigneusement rechercher les tiques sur le corps après une promenade en zone à risque. Une carte illustrant ces zones est accessible sur le site de l’InVS Santé Publique France.</w:t>
      </w:r>
    </w:p>
    <w:p w14:paraId="2272EC5B" w14:textId="25DB3D83" w:rsidR="00626387" w:rsidRPr="00357EEA" w:rsidRDefault="00626387" w:rsidP="00357EEA">
      <w:pPr>
        <w:numPr>
          <w:ilvl w:val="1"/>
          <w:numId w:val="21"/>
        </w:numPr>
        <w:spacing w:after="0"/>
        <w:rPr>
          <w:rFonts w:ascii="Arial" w:hAnsi="Arial" w:cs="Arial"/>
          <w:sz w:val="24"/>
          <w:szCs w:val="24"/>
        </w:rPr>
      </w:pPr>
      <w:r w:rsidRPr="00357EEA">
        <w:rPr>
          <w:rFonts w:ascii="Arial" w:hAnsi="Arial" w:cs="Arial"/>
          <w:sz w:val="24"/>
          <w:szCs w:val="24"/>
        </w:rPr>
        <w:t>Des colliers anti-tiques, ou des traitements acaricides, sont disponibles pour les chiens, alors que l’humain peut se protéger à l’aide de répulsifs à appliquer sur la peau.</w:t>
      </w:r>
    </w:p>
    <w:p w14:paraId="2DE22ABD" w14:textId="078FFE8C" w:rsidR="00626387" w:rsidRPr="00357EEA" w:rsidRDefault="00626387" w:rsidP="00357EEA">
      <w:pPr>
        <w:numPr>
          <w:ilvl w:val="1"/>
          <w:numId w:val="21"/>
        </w:numPr>
        <w:spacing w:after="0"/>
        <w:rPr>
          <w:rFonts w:ascii="Arial" w:hAnsi="Arial" w:cs="Arial"/>
          <w:sz w:val="24"/>
          <w:szCs w:val="24"/>
        </w:rPr>
      </w:pPr>
      <w:r w:rsidRPr="00357EEA">
        <w:rPr>
          <w:rFonts w:ascii="Arial" w:hAnsi="Arial" w:cs="Arial"/>
          <w:sz w:val="24"/>
          <w:szCs w:val="24"/>
        </w:rPr>
        <w:t xml:space="preserve">Il existe un vaccin contre la maladie de Lyme pour les chiens. En revanche, il n’existe pas de vaccin humain contre la maladie de Lyme. </w:t>
      </w:r>
    </w:p>
    <w:p w14:paraId="588E59AB" w14:textId="223B815B" w:rsidR="00626387" w:rsidRPr="00357EEA" w:rsidRDefault="00626387" w:rsidP="00357EEA">
      <w:pPr>
        <w:rPr>
          <w:rFonts w:ascii="Arial" w:hAnsi="Arial" w:cs="Arial"/>
          <w:sz w:val="24"/>
          <w:szCs w:val="24"/>
        </w:rPr>
      </w:pPr>
    </w:p>
    <w:p w14:paraId="3646D1C5" w14:textId="7BE50765" w:rsidR="00626387" w:rsidRPr="00357EEA" w:rsidRDefault="00357EEA" w:rsidP="00357EEA">
      <w:pPr>
        <w:ind w:left="720"/>
        <w:rPr>
          <w:rFonts w:ascii="Arial" w:hAnsi="Arial" w:cs="Arial"/>
          <w:color w:val="0000FF"/>
          <w:sz w:val="24"/>
          <w:szCs w:val="24"/>
          <w:u w:val="single"/>
        </w:rPr>
      </w:pPr>
      <w:hyperlink r:id="rId9" w:history="1">
        <w:r w:rsidR="00626387" w:rsidRPr="00357EEA">
          <w:rPr>
            <w:rStyle w:val="CommentaireCar"/>
            <w:rFonts w:ascii="Arial" w:eastAsiaTheme="majorEastAsia" w:hAnsi="Arial" w:cs="Arial"/>
            <w:color w:val="0000FF"/>
            <w:sz w:val="24"/>
            <w:szCs w:val="24"/>
            <w:u w:val="single"/>
          </w:rPr>
          <w:t>h</w:t>
        </w:r>
        <w:r w:rsidR="00926FCA" w:rsidRPr="00357EEA">
          <w:rPr>
            <w:rStyle w:val="CommentaireCar"/>
            <w:rFonts w:ascii="Arial" w:eastAsiaTheme="majorEastAsia" w:hAnsi="Arial" w:cs="Arial"/>
            <w:color w:val="0000FF"/>
            <w:sz w:val="24"/>
            <w:szCs w:val="24"/>
            <w:u w:val="single"/>
          </w:rPr>
          <w:t>https://agriculture.gouv.fr/la-lutte-contre-les-maladies-animales-dans-le-contexte-du-changement-climatique-1</w:t>
        </w:r>
        <w:r w:rsidR="00626387" w:rsidRPr="00357EEA">
          <w:rPr>
            <w:rStyle w:val="CommentaireCar"/>
            <w:rFonts w:ascii="Arial" w:eastAsiaTheme="majorEastAsia" w:hAnsi="Arial" w:cs="Arial"/>
            <w:color w:val="0000FF"/>
            <w:sz w:val="24"/>
            <w:szCs w:val="24"/>
            <w:u w:val="single"/>
          </w:rPr>
          <w:t>ttp://agriculture.gouv.fr/sites/minagri/files/documents//lyme_1-2-06.pdf</w:t>
        </w:r>
      </w:hyperlink>
      <w:r w:rsidR="00626387" w:rsidRPr="00357EEA">
        <w:rPr>
          <w:rFonts w:ascii="Arial" w:hAnsi="Arial" w:cs="Arial"/>
          <w:color w:val="0000FF"/>
          <w:sz w:val="24"/>
          <w:szCs w:val="24"/>
          <w:u w:val="single"/>
        </w:rPr>
        <w:t xml:space="preserve"> </w:t>
      </w:r>
    </w:p>
    <w:p w14:paraId="55EA4BBB" w14:textId="0F145C3E" w:rsidR="00626387" w:rsidRPr="00357EEA" w:rsidRDefault="00357EEA" w:rsidP="00357EEA">
      <w:pPr>
        <w:ind w:left="720"/>
        <w:rPr>
          <w:rFonts w:ascii="Arial" w:hAnsi="Arial" w:cs="Arial"/>
          <w:color w:val="0000FF"/>
          <w:sz w:val="24"/>
          <w:szCs w:val="24"/>
          <w:u w:val="single"/>
        </w:rPr>
      </w:pPr>
      <w:hyperlink r:id="rId10" w:history="1">
        <w:r w:rsidR="00626387" w:rsidRPr="00357EEA">
          <w:rPr>
            <w:rStyle w:val="CommentaireCar"/>
            <w:rFonts w:ascii="Arial" w:eastAsiaTheme="majorEastAsia" w:hAnsi="Arial" w:cs="Arial"/>
            <w:color w:val="0000FF"/>
            <w:sz w:val="24"/>
            <w:szCs w:val="24"/>
            <w:u w:val="single"/>
          </w:rPr>
          <w:t>http://invs.santepubliquefrance.fr/Dossiers-thematiques/Maladies-infectieuses/Maladies-a-transmission-vectorielle/Borreliose-de-lyme/Donnees-epidemiologiques</w:t>
        </w:r>
      </w:hyperlink>
    </w:p>
    <w:p w14:paraId="1D421509" w14:textId="3791513D" w:rsidR="00926FCA" w:rsidRPr="00357EEA" w:rsidRDefault="00357EEA" w:rsidP="00357EEA">
      <w:pPr>
        <w:ind w:left="720"/>
        <w:rPr>
          <w:rFonts w:ascii="Arial" w:hAnsi="Arial" w:cs="Arial"/>
          <w:color w:val="0000FF"/>
          <w:sz w:val="24"/>
          <w:szCs w:val="24"/>
          <w:u w:val="single"/>
        </w:rPr>
      </w:pPr>
      <w:hyperlink r:id="rId11" w:history="1">
        <w:r w:rsidR="00626387" w:rsidRPr="00357EEA">
          <w:rPr>
            <w:rStyle w:val="CommentaireCar"/>
            <w:rFonts w:ascii="Arial" w:eastAsiaTheme="majorEastAsia" w:hAnsi="Arial" w:cs="Arial"/>
            <w:color w:val="0000FF"/>
            <w:sz w:val="24"/>
            <w:szCs w:val="24"/>
            <w:u w:val="single"/>
          </w:rPr>
          <w:t>https://www.passeportsante.net/fr/sante-animale/Fiche.aspx?doc=vaccins-chien</w:t>
        </w:r>
      </w:hyperlink>
      <w:r w:rsidR="00626387" w:rsidRPr="00357EEA">
        <w:rPr>
          <w:rFonts w:ascii="Arial" w:hAnsi="Arial" w:cs="Arial"/>
          <w:color w:val="0000FF"/>
          <w:sz w:val="24"/>
          <w:szCs w:val="24"/>
          <w:u w:val="single"/>
        </w:rPr>
        <w:t xml:space="preserve"> </w:t>
      </w:r>
    </w:p>
    <w:p w14:paraId="6E519983" w14:textId="0691BE34" w:rsidR="00626387" w:rsidRPr="00357EEA" w:rsidRDefault="00926FCA" w:rsidP="00357EEA">
      <w:pPr>
        <w:ind w:left="720"/>
        <w:rPr>
          <w:rFonts w:ascii="Arial" w:hAnsi="Arial" w:cs="Arial"/>
          <w:color w:val="0000FF"/>
          <w:sz w:val="24"/>
          <w:szCs w:val="24"/>
          <w:u w:val="single"/>
        </w:rPr>
      </w:pPr>
      <w:r w:rsidRPr="00357EEA">
        <w:rPr>
          <w:rStyle w:val="CommentaireCar"/>
          <w:rFonts w:ascii="Arial" w:eastAsiaTheme="majorEastAsia" w:hAnsi="Arial" w:cs="Arial"/>
          <w:color w:val="0000FF"/>
          <w:sz w:val="24"/>
          <w:szCs w:val="24"/>
          <w:u w:val="single"/>
        </w:rPr>
        <w:t xml:space="preserve">https://sante.gouv.fr/soins-et-maladies/maladies/maladies-infectieuses/maladie-de-lyme </w:t>
      </w:r>
    </w:p>
    <w:p w14:paraId="4B7B27CE" w14:textId="7C4B96F6" w:rsidR="00626387" w:rsidRPr="00357EEA" w:rsidRDefault="00626387" w:rsidP="00357EEA">
      <w:pPr>
        <w:ind w:left="720"/>
        <w:rPr>
          <w:rFonts w:ascii="Arial" w:hAnsi="Arial" w:cs="Arial"/>
          <w:sz w:val="24"/>
          <w:szCs w:val="24"/>
        </w:rPr>
      </w:pPr>
    </w:p>
    <w:p w14:paraId="727FE200" w14:textId="611D2C17" w:rsidR="00EC42E1" w:rsidRPr="007A7A60" w:rsidRDefault="00626387" w:rsidP="00357EEA">
      <w:pPr>
        <w:pStyle w:val="Paragraphedeliste"/>
        <w:numPr>
          <w:ilvl w:val="0"/>
          <w:numId w:val="21"/>
        </w:numPr>
        <w:spacing w:after="0"/>
        <w:ind w:left="426"/>
        <w:rPr>
          <w:rFonts w:ascii="Arial" w:eastAsia="Times New Roman" w:hAnsi="Arial" w:cs="Arial"/>
          <w:b/>
          <w:bCs/>
          <w:sz w:val="28"/>
          <w:szCs w:val="28"/>
        </w:rPr>
      </w:pPr>
      <w:r w:rsidRPr="00357EEA">
        <w:rPr>
          <w:rFonts w:ascii="Arial" w:hAnsi="Arial" w:cs="Arial"/>
          <w:sz w:val="24"/>
          <w:szCs w:val="24"/>
        </w:rPr>
        <w:t>Un exercice d'analyse de données réelles d’exposition des animaux aux antibiotiques permet d'approfondir cette thématique auprès des élèves de</w:t>
      </w:r>
      <w:r w:rsidRPr="007A7A60">
        <w:rPr>
          <w:rFonts w:ascii="Arial" w:hAnsi="Arial" w:cs="Arial"/>
          <w:sz w:val="24"/>
          <w:szCs w:val="24"/>
        </w:rPr>
        <w:t xml:space="preserve"> cycle 4 ou de lycée.</w:t>
      </w:r>
    </w:p>
    <w:sectPr w:rsidR="00EC42E1" w:rsidRPr="007A7A60"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89"/>
    <w:multiLevelType w:val="hybridMultilevel"/>
    <w:tmpl w:val="FE92D094"/>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 w15:restartNumberingAfterBreak="0">
    <w:nsid w:val="0107268D"/>
    <w:multiLevelType w:val="hybridMultilevel"/>
    <w:tmpl w:val="E48C4B80"/>
    <w:lvl w:ilvl="0" w:tplc="F30CAE48">
      <w:start w:val="1"/>
      <w:numFmt w:val="decimal"/>
      <w:lvlText w:val="%1."/>
      <w:lvlJc w:val="left"/>
      <w:pPr>
        <w:ind w:left="360" w:hanging="360"/>
      </w:pPr>
      <w:rPr>
        <w:rFonts w:hint="default"/>
        <w:b/>
        <w:sz w:val="18"/>
        <w:szCs w:val="18"/>
      </w:rPr>
    </w:lvl>
    <w:lvl w:ilvl="1" w:tplc="AC6AE856">
      <w:start w:val="1"/>
      <w:numFmt w:val="lowerLetter"/>
      <w:lvlText w:val="%2."/>
      <w:lvlJc w:val="left"/>
      <w:pPr>
        <w:ind w:left="1080" w:hanging="360"/>
      </w:pPr>
      <w:rPr>
        <w:rFonts w:ascii="Arial" w:hAnsi="Arial" w:cs="Arial" w:hint="default"/>
        <w:b/>
        <w:i w:val="0"/>
        <w:sz w:val="18"/>
        <w:szCs w:val="18"/>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D621A3"/>
    <w:multiLevelType w:val="hybridMultilevel"/>
    <w:tmpl w:val="95DC7D4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078B14EC"/>
    <w:multiLevelType w:val="hybridMultilevel"/>
    <w:tmpl w:val="CF72D49A"/>
    <w:lvl w:ilvl="0" w:tplc="7A4403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491E3D"/>
    <w:multiLevelType w:val="hybridMultilevel"/>
    <w:tmpl w:val="6844995E"/>
    <w:lvl w:ilvl="0" w:tplc="38D847F4">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74E4037"/>
    <w:multiLevelType w:val="hybridMultilevel"/>
    <w:tmpl w:val="9DA2F6A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FA48AE"/>
    <w:multiLevelType w:val="hybridMultilevel"/>
    <w:tmpl w:val="DFECFFEC"/>
    <w:lvl w:ilvl="0" w:tplc="FFFFFFFF">
      <w:start w:val="1"/>
      <w:numFmt w:val="decimal"/>
      <w:lvlText w:val="%1."/>
      <w:lvlJc w:val="left"/>
      <w:pPr>
        <w:ind w:left="720" w:hanging="360"/>
      </w:pPr>
      <w:rPr>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4EB15AC"/>
    <w:multiLevelType w:val="hybridMultilevel"/>
    <w:tmpl w:val="D994AB1E"/>
    <w:lvl w:ilvl="0" w:tplc="89169064">
      <w:start w:val="1"/>
      <w:numFmt w:val="decimal"/>
      <w:lvlText w:val="%1."/>
      <w:lvlJc w:val="left"/>
      <w:pPr>
        <w:tabs>
          <w:tab w:val="num" w:pos="360"/>
        </w:tabs>
        <w:ind w:left="360" w:hanging="360"/>
      </w:pPr>
      <w:rPr>
        <w:b/>
      </w:rPr>
    </w:lvl>
    <w:lvl w:ilvl="1" w:tplc="1286DE6E">
      <w:start w:val="1"/>
      <w:numFmt w:val="lowerLetter"/>
      <w:lvlText w:val="%2."/>
      <w:lvlJc w:val="left"/>
      <w:pPr>
        <w:tabs>
          <w:tab w:val="num" w:pos="1353"/>
        </w:tabs>
        <w:ind w:left="1353" w:hanging="360"/>
      </w:pPr>
      <w:rPr>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0" w15:restartNumberingAfterBreak="0">
    <w:nsid w:val="38D913C0"/>
    <w:multiLevelType w:val="hybridMultilevel"/>
    <w:tmpl w:val="80023102"/>
    <w:lvl w:ilvl="0" w:tplc="040C0019">
      <w:start w:val="1"/>
      <w:numFmt w:val="lowerLetter"/>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1" w15:restartNumberingAfterBreak="0">
    <w:nsid w:val="3AD52F39"/>
    <w:multiLevelType w:val="hybridMultilevel"/>
    <w:tmpl w:val="3F0870C2"/>
    <w:lvl w:ilvl="0" w:tplc="B6C8A58E">
      <w:start w:val="1"/>
      <w:numFmt w:val="decimal"/>
      <w:lvlText w:val="%1."/>
      <w:lvlJc w:val="left"/>
      <w:pPr>
        <w:tabs>
          <w:tab w:val="num" w:pos="528"/>
        </w:tabs>
        <w:ind w:left="528" w:hanging="360"/>
      </w:pPr>
      <w:rPr>
        <w:rFonts w:hint="default"/>
        <w:b/>
      </w:rPr>
    </w:lvl>
    <w:lvl w:ilvl="1" w:tplc="08090019">
      <w:start w:val="1"/>
      <w:numFmt w:val="lowerLetter"/>
      <w:lvlText w:val="%2."/>
      <w:lvlJc w:val="left"/>
      <w:pPr>
        <w:tabs>
          <w:tab w:val="num" w:pos="808"/>
        </w:tabs>
        <w:ind w:left="808" w:hanging="360"/>
      </w:pPr>
    </w:lvl>
    <w:lvl w:ilvl="2" w:tplc="0809001B" w:tentative="1">
      <w:start w:val="1"/>
      <w:numFmt w:val="lowerRoman"/>
      <w:lvlText w:val="%3."/>
      <w:lvlJc w:val="right"/>
      <w:pPr>
        <w:tabs>
          <w:tab w:val="num" w:pos="2136"/>
        </w:tabs>
        <w:ind w:left="2136" w:hanging="180"/>
      </w:pPr>
    </w:lvl>
    <w:lvl w:ilvl="3" w:tplc="0809000F" w:tentative="1">
      <w:start w:val="1"/>
      <w:numFmt w:val="decimal"/>
      <w:lvlText w:val="%4."/>
      <w:lvlJc w:val="left"/>
      <w:pPr>
        <w:tabs>
          <w:tab w:val="num" w:pos="2856"/>
        </w:tabs>
        <w:ind w:left="2856" w:hanging="360"/>
      </w:pPr>
    </w:lvl>
    <w:lvl w:ilvl="4" w:tplc="08090019" w:tentative="1">
      <w:start w:val="1"/>
      <w:numFmt w:val="lowerLetter"/>
      <w:lvlText w:val="%5."/>
      <w:lvlJc w:val="left"/>
      <w:pPr>
        <w:tabs>
          <w:tab w:val="num" w:pos="3576"/>
        </w:tabs>
        <w:ind w:left="3576" w:hanging="360"/>
      </w:pPr>
    </w:lvl>
    <w:lvl w:ilvl="5" w:tplc="0809001B" w:tentative="1">
      <w:start w:val="1"/>
      <w:numFmt w:val="lowerRoman"/>
      <w:lvlText w:val="%6."/>
      <w:lvlJc w:val="right"/>
      <w:pPr>
        <w:tabs>
          <w:tab w:val="num" w:pos="4296"/>
        </w:tabs>
        <w:ind w:left="4296" w:hanging="180"/>
      </w:pPr>
    </w:lvl>
    <w:lvl w:ilvl="6" w:tplc="0809000F" w:tentative="1">
      <w:start w:val="1"/>
      <w:numFmt w:val="decimal"/>
      <w:lvlText w:val="%7."/>
      <w:lvlJc w:val="left"/>
      <w:pPr>
        <w:tabs>
          <w:tab w:val="num" w:pos="5016"/>
        </w:tabs>
        <w:ind w:left="5016" w:hanging="360"/>
      </w:pPr>
    </w:lvl>
    <w:lvl w:ilvl="7" w:tplc="08090019" w:tentative="1">
      <w:start w:val="1"/>
      <w:numFmt w:val="lowerLetter"/>
      <w:lvlText w:val="%8."/>
      <w:lvlJc w:val="left"/>
      <w:pPr>
        <w:tabs>
          <w:tab w:val="num" w:pos="5736"/>
        </w:tabs>
        <w:ind w:left="5736" w:hanging="360"/>
      </w:pPr>
    </w:lvl>
    <w:lvl w:ilvl="8" w:tplc="0809001B" w:tentative="1">
      <w:start w:val="1"/>
      <w:numFmt w:val="lowerRoman"/>
      <w:lvlText w:val="%9."/>
      <w:lvlJc w:val="right"/>
      <w:pPr>
        <w:tabs>
          <w:tab w:val="num" w:pos="6456"/>
        </w:tabs>
        <w:ind w:left="6456" w:hanging="180"/>
      </w:pPr>
    </w:lvl>
  </w:abstractNum>
  <w:abstractNum w:abstractNumId="12" w15:restartNumberingAfterBreak="0">
    <w:nsid w:val="3EF043DC"/>
    <w:multiLevelType w:val="hybridMultilevel"/>
    <w:tmpl w:val="D6B68C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FD42EC"/>
    <w:multiLevelType w:val="hybridMultilevel"/>
    <w:tmpl w:val="F1C0F252"/>
    <w:lvl w:ilvl="0" w:tplc="FFFFFFFF">
      <w:start w:val="1"/>
      <w:numFmt w:val="decimal"/>
      <w:lvlText w:val="%1."/>
      <w:lvlJc w:val="left"/>
      <w:pPr>
        <w:ind w:left="720" w:hanging="360"/>
      </w:pPr>
      <w:rPr>
        <w:b w:val="0"/>
        <w:color w:val="auto"/>
      </w:rPr>
    </w:lvl>
    <w:lvl w:ilvl="1" w:tplc="5B2031A6">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F510EB5"/>
    <w:multiLevelType w:val="hybridMultilevel"/>
    <w:tmpl w:val="48C29BC4"/>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5C3820A6"/>
    <w:multiLevelType w:val="hybridMultilevel"/>
    <w:tmpl w:val="95DC7D4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5C4F0EBE"/>
    <w:multiLevelType w:val="hybridMultilevel"/>
    <w:tmpl w:val="480A33BC"/>
    <w:lvl w:ilvl="0" w:tplc="0C4CFB2E">
      <w:start w:val="1"/>
      <w:numFmt w:val="decimal"/>
      <w:lvlText w:val="%1."/>
      <w:lvlJc w:val="left"/>
      <w:pPr>
        <w:ind w:left="360" w:hanging="360"/>
      </w:pPr>
      <w:rPr>
        <w:b/>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66E77CCB"/>
    <w:multiLevelType w:val="hybridMultilevel"/>
    <w:tmpl w:val="9A66A0C6"/>
    <w:lvl w:ilvl="0" w:tplc="AC6AE856">
      <w:start w:val="1"/>
      <w:numFmt w:val="lowerLetter"/>
      <w:lvlText w:val="%1."/>
      <w:lvlJc w:val="left"/>
      <w:pPr>
        <w:ind w:left="1797" w:hanging="360"/>
      </w:pPr>
      <w:rPr>
        <w:rFonts w:ascii="Arial" w:hAnsi="Arial" w:cs="Arial" w:hint="default"/>
        <w:b/>
        <w:i w:val="0"/>
        <w:sz w:val="18"/>
        <w:szCs w:val="18"/>
      </w:rPr>
    </w:lvl>
    <w:lvl w:ilvl="1" w:tplc="040C0019" w:tentative="1">
      <w:start w:val="1"/>
      <w:numFmt w:val="lowerLetter"/>
      <w:lvlText w:val="%2."/>
      <w:lvlJc w:val="left"/>
      <w:pPr>
        <w:ind w:left="2517" w:hanging="360"/>
      </w:pPr>
    </w:lvl>
    <w:lvl w:ilvl="2" w:tplc="040C001B" w:tentative="1">
      <w:start w:val="1"/>
      <w:numFmt w:val="lowerRoman"/>
      <w:lvlText w:val="%3."/>
      <w:lvlJc w:val="right"/>
      <w:pPr>
        <w:ind w:left="3237" w:hanging="180"/>
      </w:pPr>
    </w:lvl>
    <w:lvl w:ilvl="3" w:tplc="040C000F" w:tentative="1">
      <w:start w:val="1"/>
      <w:numFmt w:val="decimal"/>
      <w:lvlText w:val="%4."/>
      <w:lvlJc w:val="left"/>
      <w:pPr>
        <w:ind w:left="3957" w:hanging="360"/>
      </w:pPr>
    </w:lvl>
    <w:lvl w:ilvl="4" w:tplc="040C0019" w:tentative="1">
      <w:start w:val="1"/>
      <w:numFmt w:val="lowerLetter"/>
      <w:lvlText w:val="%5."/>
      <w:lvlJc w:val="left"/>
      <w:pPr>
        <w:ind w:left="4677" w:hanging="360"/>
      </w:pPr>
    </w:lvl>
    <w:lvl w:ilvl="5" w:tplc="040C001B" w:tentative="1">
      <w:start w:val="1"/>
      <w:numFmt w:val="lowerRoman"/>
      <w:lvlText w:val="%6."/>
      <w:lvlJc w:val="right"/>
      <w:pPr>
        <w:ind w:left="5397" w:hanging="180"/>
      </w:pPr>
    </w:lvl>
    <w:lvl w:ilvl="6" w:tplc="040C000F" w:tentative="1">
      <w:start w:val="1"/>
      <w:numFmt w:val="decimal"/>
      <w:lvlText w:val="%7."/>
      <w:lvlJc w:val="left"/>
      <w:pPr>
        <w:ind w:left="6117" w:hanging="360"/>
      </w:pPr>
    </w:lvl>
    <w:lvl w:ilvl="7" w:tplc="040C0019" w:tentative="1">
      <w:start w:val="1"/>
      <w:numFmt w:val="lowerLetter"/>
      <w:lvlText w:val="%8."/>
      <w:lvlJc w:val="left"/>
      <w:pPr>
        <w:ind w:left="6837" w:hanging="360"/>
      </w:pPr>
    </w:lvl>
    <w:lvl w:ilvl="8" w:tplc="040C001B" w:tentative="1">
      <w:start w:val="1"/>
      <w:numFmt w:val="lowerRoman"/>
      <w:lvlText w:val="%9."/>
      <w:lvlJc w:val="right"/>
      <w:pPr>
        <w:ind w:left="7557" w:hanging="180"/>
      </w:pPr>
    </w:lvl>
  </w:abstractNum>
  <w:abstractNum w:abstractNumId="19" w15:restartNumberingAfterBreak="0">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20" w15:restartNumberingAfterBreak="0">
    <w:nsid w:val="700B1424"/>
    <w:multiLevelType w:val="hybridMultilevel"/>
    <w:tmpl w:val="BE2C2548"/>
    <w:lvl w:ilvl="0" w:tplc="040C0017">
      <w:start w:val="1"/>
      <w:numFmt w:val="lowerLetter"/>
      <w:lvlText w:val="%1)"/>
      <w:lvlJc w:val="left"/>
      <w:pPr>
        <w:ind w:left="1140" w:hanging="360"/>
      </w:p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21" w15:restartNumberingAfterBreak="0">
    <w:nsid w:val="7C03572E"/>
    <w:multiLevelType w:val="hybridMultilevel"/>
    <w:tmpl w:val="573E5D78"/>
    <w:lvl w:ilvl="0" w:tplc="50A2B2A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4"/>
  </w:num>
  <w:num w:numId="2">
    <w:abstractNumId w:val="22"/>
  </w:num>
  <w:num w:numId="3">
    <w:abstractNumId w:val="19"/>
  </w:num>
  <w:num w:numId="4">
    <w:abstractNumId w:val="6"/>
  </w:num>
  <w:num w:numId="5">
    <w:abstractNumId w:val="9"/>
  </w:num>
  <w:num w:numId="6">
    <w:abstractNumId w:val="11"/>
  </w:num>
  <w:num w:numId="7">
    <w:abstractNumId w:val="21"/>
  </w:num>
  <w:num w:numId="8">
    <w:abstractNumId w:val="1"/>
  </w:num>
  <w:num w:numId="9">
    <w:abstractNumId w:val="4"/>
  </w:num>
  <w:num w:numId="10">
    <w:abstractNumId w:val="8"/>
  </w:num>
  <w:num w:numId="11">
    <w:abstractNumId w:val="18"/>
  </w:num>
  <w:num w:numId="12">
    <w:abstractNumId w:val="17"/>
  </w:num>
  <w:num w:numId="13">
    <w:abstractNumId w:val="16"/>
  </w:num>
  <w:num w:numId="14">
    <w:abstractNumId w:val="12"/>
  </w:num>
  <w:num w:numId="15">
    <w:abstractNumId w:val="3"/>
  </w:num>
  <w:num w:numId="16">
    <w:abstractNumId w:val="5"/>
  </w:num>
  <w:num w:numId="17">
    <w:abstractNumId w:val="2"/>
  </w:num>
  <w:num w:numId="18">
    <w:abstractNumId w:val="15"/>
  </w:num>
  <w:num w:numId="19">
    <w:abstractNumId w:val="20"/>
  </w:num>
  <w:num w:numId="20">
    <w:abstractNumId w:val="10"/>
  </w:num>
  <w:num w:numId="21">
    <w:abstractNumId w:val="13"/>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0F109C"/>
    <w:rsid w:val="000F7DC6"/>
    <w:rsid w:val="001656BF"/>
    <w:rsid w:val="00357EEA"/>
    <w:rsid w:val="003A6FF6"/>
    <w:rsid w:val="003B1E6A"/>
    <w:rsid w:val="004F259D"/>
    <w:rsid w:val="00626387"/>
    <w:rsid w:val="00642922"/>
    <w:rsid w:val="007A7A60"/>
    <w:rsid w:val="0083287C"/>
    <w:rsid w:val="00926FCA"/>
    <w:rsid w:val="009A357B"/>
    <w:rsid w:val="009C3569"/>
    <w:rsid w:val="00A00E91"/>
    <w:rsid w:val="00A124C6"/>
    <w:rsid w:val="00A92D00"/>
    <w:rsid w:val="00A97FFA"/>
    <w:rsid w:val="00C045C4"/>
    <w:rsid w:val="00D2346C"/>
    <w:rsid w:val="00E33459"/>
    <w:rsid w:val="00E912C1"/>
    <w:rsid w:val="00EC42E1"/>
    <w:rsid w:val="00F3793F"/>
    <w:rsid w:val="00F5518C"/>
    <w:rsid w:val="00FB50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C1C4"/>
  <w15:docId w15:val="{ADE7A1B1-B2EA-4659-9287-54ECF5A3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387"/>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A00E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uiPriority w:val="99"/>
    <w:rsid w:val="00EC42E1"/>
    <w:rPr>
      <w:color w:val="0000FF"/>
      <w:u w:val="single"/>
    </w:rPr>
  </w:style>
  <w:style w:type="paragraph" w:styleId="Paragraphedeliste">
    <w:name w:val="List Paragraph"/>
    <w:basedOn w:val="Normal"/>
    <w:uiPriority w:val="34"/>
    <w:qFormat/>
    <w:rsid w:val="00F3793F"/>
    <w:pPr>
      <w:ind w:left="720"/>
      <w:contextualSpacing/>
    </w:pPr>
  </w:style>
  <w:style w:type="character" w:customStyle="1" w:styleId="Titre3Car">
    <w:name w:val="Titre 3 Car"/>
    <w:basedOn w:val="Policepardfaut"/>
    <w:link w:val="Titre3"/>
    <w:uiPriority w:val="9"/>
    <w:rsid w:val="00A00E91"/>
    <w:rPr>
      <w:rFonts w:asciiTheme="majorHAnsi" w:eastAsiaTheme="majorEastAsia" w:hAnsiTheme="majorHAnsi" w:cstheme="majorBidi"/>
      <w:color w:val="1F3763" w:themeColor="accent1" w:themeShade="7F"/>
      <w:sz w:val="24"/>
      <w:szCs w:val="24"/>
      <w:lang w:eastAsia="en-US"/>
    </w:rPr>
  </w:style>
  <w:style w:type="paragraph" w:styleId="Commentaire">
    <w:name w:val="annotation text"/>
    <w:basedOn w:val="Normal"/>
    <w:link w:val="CommentaireCar"/>
    <w:uiPriority w:val="99"/>
    <w:semiHidden/>
    <w:unhideWhenUsed/>
    <w:rsid w:val="00626387"/>
    <w:pPr>
      <w:spacing w:after="0" w:line="240" w:lineRule="auto"/>
    </w:pPr>
    <w:rPr>
      <w:rFonts w:ascii="Times New Roman" w:eastAsia="Times New Roman" w:hAnsi="Times New Roman"/>
      <w:sz w:val="20"/>
      <w:szCs w:val="20"/>
      <w:lang w:eastAsia="fr-FR"/>
    </w:rPr>
  </w:style>
  <w:style w:type="character" w:customStyle="1" w:styleId="CommentaireCar">
    <w:name w:val="Commentaire Car"/>
    <w:basedOn w:val="Policepardfaut"/>
    <w:link w:val="Commentaire"/>
    <w:uiPriority w:val="99"/>
    <w:semiHidden/>
    <w:rsid w:val="0062638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ug.eu/fr-FR/coll&#232;ge-fiches-infos-la-maladie-de-ly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bug.eu/contentpage.html?type=dff&amp;level=senior&amp;group=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bug.eu/fr-fr/une-seule-sant&#233;" TargetMode="External"/><Relationship Id="rId11" Type="http://schemas.openxmlformats.org/officeDocument/2006/relationships/hyperlink" Target="https://www.passeportsante.net/fr/sante-animale/Fiche.aspx?doc=vaccins-chien" TargetMode="External"/><Relationship Id="rId5" Type="http://schemas.openxmlformats.org/officeDocument/2006/relationships/image" Target="media/image1.png"/><Relationship Id="rId10" Type="http://schemas.openxmlformats.org/officeDocument/2006/relationships/hyperlink" Target="http://invs.santepubliquefrance.fr/Dossiers-thematiques/Maladies-infectieuses/Maladies-a-transmission-vectorielle/Borreliose-de-lyme/Donnees-epidemiologiques" TargetMode="External"/><Relationship Id="rId4" Type="http://schemas.openxmlformats.org/officeDocument/2006/relationships/webSettings" Target="webSettings.xml"/><Relationship Id="rId9" Type="http://schemas.openxmlformats.org/officeDocument/2006/relationships/hyperlink" Target="http://agriculture.gouv.fr/sites/minagri/files/documents//lyme_1-2-06.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785</Words>
  <Characters>4323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5098</CharactersWithSpaces>
  <SharedDoc>false</SharedDoc>
  <HLinks>
    <vt:vector size="6" baseType="variant">
      <vt:variant>
        <vt:i4>65619</vt:i4>
      </vt:variant>
      <vt:variant>
        <vt:i4>0</vt:i4>
      </vt:variant>
      <vt:variant>
        <vt:i4>0</vt:i4>
      </vt:variant>
      <vt:variant>
        <vt:i4>5</vt:i4>
      </vt:variant>
      <vt:variant>
        <vt:lpwstr>http://www.e-bug.eu/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 FEVRE AMELIE CHU Nice</cp:lastModifiedBy>
  <cp:revision>4</cp:revision>
  <dcterms:created xsi:type="dcterms:W3CDTF">2023-01-16T12:36:00Z</dcterms:created>
  <dcterms:modified xsi:type="dcterms:W3CDTF">2023-10-02T09:22:00Z</dcterms:modified>
</cp:coreProperties>
</file>