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CF8F" w14:textId="2E35DD81" w:rsidR="00A038C3" w:rsidRPr="00A038C3" w:rsidRDefault="00A038C3" w:rsidP="00A038C3">
      <w:pPr>
        <w:pStyle w:val="Titre1"/>
        <w:spacing w:before="0" w:after="0" w:line="240" w:lineRule="auto"/>
        <w:jc w:val="center"/>
        <w:rPr>
          <w:rFonts w:ascii="Arial" w:hAnsi="Arial" w:cs="Arial"/>
          <w:b/>
          <w:bCs/>
          <w:color w:val="auto"/>
          <w:sz w:val="44"/>
          <w:szCs w:val="44"/>
        </w:rPr>
      </w:pPr>
      <w:bookmarkStart w:id="0" w:name="_Toc111135460"/>
      <w:r w:rsidRPr="00A038C3">
        <w:rPr>
          <w:rFonts w:ascii="Arial" w:hAnsi="Arial" w:cs="Arial"/>
          <w:b/>
          <w:bCs/>
          <w:noProof/>
          <w:color w:val="auto"/>
          <w:sz w:val="44"/>
          <w:szCs w:val="44"/>
        </w:rPr>
        <w:drawing>
          <wp:anchor distT="0" distB="0" distL="114300" distR="114300" simplePos="0" relativeHeight="251660288" behindDoc="0" locked="0" layoutInCell="1" allowOverlap="1" wp14:anchorId="3F4075F3" wp14:editId="54A7DE18">
            <wp:simplePos x="0" y="0"/>
            <wp:positionH relativeFrom="column">
              <wp:posOffset>6155055</wp:posOffset>
            </wp:positionH>
            <wp:positionV relativeFrom="paragraph">
              <wp:posOffset>317500</wp:posOffset>
            </wp:positionV>
            <wp:extent cx="720000" cy="724936"/>
            <wp:effectExtent l="0" t="0" r="4445" b="0"/>
            <wp:wrapSquare wrapText="bothSides"/>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 cy="724936"/>
                    </a:xfrm>
                    <a:prstGeom prst="rect">
                      <a:avLst/>
                    </a:prstGeom>
                    <a:noFill/>
                  </pic:spPr>
                </pic:pic>
              </a:graphicData>
            </a:graphic>
            <wp14:sizeRelH relativeFrom="margin">
              <wp14:pctWidth>0</wp14:pctWidth>
            </wp14:sizeRelH>
            <wp14:sizeRelV relativeFrom="margin">
              <wp14:pctHeight>0</wp14:pctHeight>
            </wp14:sizeRelV>
          </wp:anchor>
        </w:drawing>
      </w:r>
      <w:r w:rsidRPr="00A038C3">
        <w:rPr>
          <w:rFonts w:ascii="Arial" w:hAnsi="Arial" w:cs="Arial"/>
          <w:b/>
          <w:bCs/>
          <w:color w:val="auto"/>
          <w:sz w:val="44"/>
          <w:szCs w:val="44"/>
        </w:rPr>
        <w:t>Fiche d’information élèves</w:t>
      </w:r>
    </w:p>
    <w:p w14:paraId="58C79131" w14:textId="637F6F9C" w:rsidR="00A038C3" w:rsidRPr="00A038C3" w:rsidRDefault="002336FE" w:rsidP="00A038C3">
      <w:pPr>
        <w:pStyle w:val="Titre1"/>
        <w:spacing w:before="0" w:after="0" w:line="240" w:lineRule="auto"/>
        <w:jc w:val="center"/>
        <w:rPr>
          <w:rFonts w:ascii="Arial" w:hAnsi="Arial" w:cs="Arial"/>
          <w:b/>
          <w:bCs/>
          <w:color w:val="auto"/>
          <w:sz w:val="36"/>
          <w:szCs w:val="36"/>
        </w:rPr>
      </w:pPr>
      <w:r w:rsidRPr="00A038C3">
        <w:rPr>
          <w:rFonts w:ascii="Arial" w:hAnsi="Arial" w:cs="Arial"/>
          <w:b/>
          <w:bCs/>
          <w:noProof/>
          <w:color w:val="auto"/>
          <w:sz w:val="36"/>
          <w:szCs w:val="36"/>
        </w:rPr>
        <mc:AlternateContent>
          <mc:Choice Requires="wps">
            <w:drawing>
              <wp:anchor distT="0" distB="0" distL="114300" distR="114300" simplePos="0" relativeHeight="251659264" behindDoc="0" locked="0" layoutInCell="1" allowOverlap="1" wp14:anchorId="5221FEC0" wp14:editId="186F15AB">
                <wp:simplePos x="0" y="0"/>
                <wp:positionH relativeFrom="margin">
                  <wp:posOffset>-163195</wp:posOffset>
                </wp:positionH>
                <wp:positionV relativeFrom="paragraph">
                  <wp:posOffset>268605</wp:posOffset>
                </wp:positionV>
                <wp:extent cx="6962775" cy="9056217"/>
                <wp:effectExtent l="19050" t="19050" r="28575" b="12065"/>
                <wp:wrapNone/>
                <wp:docPr id="126" name="Rectangl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056217"/>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E0BE0" id="Rectangle 126" o:spid="_x0000_s1026" style="position:absolute;margin-left:-12.85pt;margin-top:21.15pt;width:548.25pt;height:713.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" filled="f" strokecolor="#1f396c" strokeweight="2.25pt">
                <w10:wrap anchorx="margin"/>
              </v:rect>
            </w:pict>
          </mc:Fallback>
        </mc:AlternateContent>
      </w:r>
      <w:r w:rsidR="00A038C3" w:rsidRPr="00A038C3">
        <w:rPr>
          <w:rFonts w:ascii="Arial" w:hAnsi="Arial" w:cs="Arial"/>
          <w:b/>
          <w:bCs/>
          <w:color w:val="auto"/>
          <w:sz w:val="36"/>
          <w:szCs w:val="36"/>
        </w:rPr>
        <w:t>Vaccin COVID-19</w:t>
      </w:r>
      <w:bookmarkEnd w:id="0"/>
    </w:p>
    <w:p w14:paraId="7B19E288" w14:textId="77777777" w:rsidR="00A038C3" w:rsidRPr="00A038C3" w:rsidRDefault="00A038C3" w:rsidP="00A038C3">
      <w:pPr>
        <w:pStyle w:val="Titre2"/>
        <w:spacing w:before="0" w:after="0" w:line="240" w:lineRule="auto"/>
        <w:rPr>
          <w:rFonts w:ascii="Arial" w:hAnsi="Arial" w:cs="Arial"/>
          <w:b/>
          <w:bCs/>
          <w:color w:val="auto"/>
        </w:rPr>
      </w:pPr>
      <w:bookmarkStart w:id="1" w:name="_Toc111135461"/>
      <w:r w:rsidRPr="00A038C3">
        <w:rPr>
          <w:rFonts w:ascii="Arial" w:hAnsi="Arial" w:cs="Arial"/>
          <w:b/>
          <w:bCs/>
          <w:color w:val="auto"/>
        </w:rPr>
        <w:t>Les différents types de vaccin</w:t>
      </w:r>
      <w:bookmarkEnd w:id="1"/>
    </w:p>
    <w:p w14:paraId="2B148487" w14:textId="77777777" w:rsidR="00A038C3" w:rsidRPr="00A038C3" w:rsidRDefault="00A038C3" w:rsidP="00A038C3">
      <w:pPr>
        <w:spacing w:line="240" w:lineRule="auto"/>
        <w:rPr>
          <w:rFonts w:cs="Arial"/>
          <w:lang w:eastAsia="fr-FR"/>
        </w:rPr>
      </w:pPr>
    </w:p>
    <w:p w14:paraId="4D2CF21A" w14:textId="77777777" w:rsidR="00A038C3" w:rsidRPr="00A038C3" w:rsidRDefault="00A038C3" w:rsidP="00A038C3">
      <w:pPr>
        <w:spacing w:line="240" w:lineRule="auto"/>
        <w:rPr>
          <w:rFonts w:cs="Arial"/>
        </w:rPr>
      </w:pPr>
      <w:r w:rsidRPr="00A038C3">
        <w:rPr>
          <w:rFonts w:cs="Arial"/>
        </w:rPr>
        <w:t>Depuis la découverte par Jenner de la possibilité de prévenir la variole avec du pus issu de lésions de la vaccine (une maladie semblable à la variole, mais beaucoup moins virulente), les procédés de vaccination se sont diversifiés :</w:t>
      </w:r>
    </w:p>
    <w:p w14:paraId="5050BF16" w14:textId="77777777" w:rsidR="00A038C3" w:rsidRPr="00A038C3" w:rsidRDefault="00A038C3" w:rsidP="00A038C3">
      <w:pPr>
        <w:spacing w:line="240" w:lineRule="auto"/>
        <w:rPr>
          <w:rFonts w:cs="Arial"/>
        </w:rPr>
      </w:pPr>
    </w:p>
    <w:p w14:paraId="44BFA18F" w14:textId="77777777" w:rsidR="00A038C3" w:rsidRPr="00A038C3" w:rsidRDefault="00A038C3" w:rsidP="00A038C3">
      <w:pPr>
        <w:pStyle w:val="Paragraphedeliste"/>
        <w:numPr>
          <w:ilvl w:val="0"/>
          <w:numId w:val="1"/>
        </w:numPr>
        <w:spacing w:line="240" w:lineRule="auto"/>
        <w:rPr>
          <w:rFonts w:cs="Arial"/>
        </w:rPr>
      </w:pPr>
      <w:r w:rsidRPr="00A038C3">
        <w:rPr>
          <w:rFonts w:cs="Arial"/>
        </w:rPr>
        <w:t>Vaccins à micro-organismes entiers (</w:t>
      </w:r>
      <w:r w:rsidRPr="00A038C3">
        <w:rPr>
          <w:rFonts w:cs="Arial"/>
          <w:bCs/>
        </w:rPr>
        <w:t>vivants atténués</w:t>
      </w:r>
      <w:r w:rsidRPr="00A038C3">
        <w:rPr>
          <w:rFonts w:cs="Arial"/>
        </w:rPr>
        <w:t xml:space="preserve"> : rougeole, oreillons, rubéole, varicelle, BCG, ou </w:t>
      </w:r>
      <w:r w:rsidRPr="00A038C3">
        <w:rPr>
          <w:rFonts w:cs="Arial"/>
          <w:bCs/>
        </w:rPr>
        <w:t>inactivés</w:t>
      </w:r>
      <w:r w:rsidRPr="00A038C3">
        <w:rPr>
          <w:rFonts w:cs="Arial"/>
        </w:rPr>
        <w:t> : polio) ou fragmentés (grippe).</w:t>
      </w:r>
    </w:p>
    <w:p w14:paraId="06A5BA61" w14:textId="77777777" w:rsidR="00A038C3" w:rsidRPr="00A038C3" w:rsidRDefault="00A038C3" w:rsidP="00A038C3">
      <w:pPr>
        <w:pStyle w:val="Paragraphedeliste"/>
        <w:numPr>
          <w:ilvl w:val="0"/>
          <w:numId w:val="1"/>
        </w:numPr>
        <w:spacing w:line="240" w:lineRule="auto"/>
        <w:rPr>
          <w:rFonts w:cs="Arial"/>
        </w:rPr>
      </w:pPr>
      <w:r w:rsidRPr="00A038C3">
        <w:rPr>
          <w:rFonts w:cs="Arial"/>
        </w:rPr>
        <w:t xml:space="preserve">Vaccins sous-unitaires : polysaccharides bactériens (pneumocoque, </w:t>
      </w:r>
      <w:proofErr w:type="spellStart"/>
      <w:r w:rsidRPr="00A038C3">
        <w:rPr>
          <w:rFonts w:cs="Arial"/>
        </w:rPr>
        <w:t>hémophilus</w:t>
      </w:r>
      <w:proofErr w:type="spellEnd"/>
      <w:r w:rsidRPr="00A038C3">
        <w:rPr>
          <w:rFonts w:cs="Arial"/>
        </w:rPr>
        <w:t xml:space="preserve"> b, méningocoque C) ou protéines bactériennes (rage, coqueluche…) ou virales (HPV, hépatite B).</w:t>
      </w:r>
    </w:p>
    <w:p w14:paraId="1EEBBD09" w14:textId="77777777" w:rsidR="00A038C3" w:rsidRPr="00A038C3" w:rsidRDefault="00A038C3" w:rsidP="00A038C3">
      <w:pPr>
        <w:pStyle w:val="Paragraphedeliste"/>
        <w:numPr>
          <w:ilvl w:val="0"/>
          <w:numId w:val="1"/>
        </w:numPr>
        <w:spacing w:line="240" w:lineRule="auto"/>
        <w:rPr>
          <w:rFonts w:cs="Arial"/>
        </w:rPr>
      </w:pPr>
      <w:r w:rsidRPr="00A038C3">
        <w:rPr>
          <w:rFonts w:cs="Arial"/>
        </w:rPr>
        <w:t>Vaccins à base de toxines bactériennes (diphtérie, tétanos).</w:t>
      </w:r>
    </w:p>
    <w:p w14:paraId="54BFB2AC" w14:textId="77777777" w:rsidR="00A038C3" w:rsidRPr="00A038C3" w:rsidRDefault="00A038C3" w:rsidP="00A038C3">
      <w:pPr>
        <w:pStyle w:val="Paragraphedeliste"/>
        <w:numPr>
          <w:ilvl w:val="0"/>
          <w:numId w:val="1"/>
        </w:numPr>
        <w:spacing w:line="240" w:lineRule="auto"/>
        <w:rPr>
          <w:rFonts w:cs="Arial"/>
        </w:rPr>
      </w:pPr>
      <w:r w:rsidRPr="00A038C3">
        <w:rPr>
          <w:rFonts w:cs="Arial"/>
        </w:rPr>
        <w:t>Vaccins à ADN : fragments d’ADN de micro-organismes pathogènes codant pour des protéines immunogènes (en cours de développement).</w:t>
      </w:r>
    </w:p>
    <w:p w14:paraId="5936575C" w14:textId="77777777" w:rsidR="00A038C3" w:rsidRPr="00A038C3" w:rsidRDefault="00A038C3" w:rsidP="00A038C3">
      <w:pPr>
        <w:pStyle w:val="Paragraphedeliste"/>
        <w:numPr>
          <w:ilvl w:val="0"/>
          <w:numId w:val="1"/>
        </w:numPr>
        <w:spacing w:line="240" w:lineRule="auto"/>
        <w:rPr>
          <w:rFonts w:cs="Arial"/>
        </w:rPr>
      </w:pPr>
      <w:r w:rsidRPr="00A038C3">
        <w:rPr>
          <w:rFonts w:cs="Arial"/>
        </w:rPr>
        <w:t>Vaccins à vecteur viral : recombinant utilisant virus atténués inoffensifs comme vecteurs d’ADN microbien.</w:t>
      </w:r>
    </w:p>
    <w:p w14:paraId="14C24D53" w14:textId="77777777" w:rsidR="00A038C3" w:rsidRPr="00A038C3" w:rsidRDefault="00A038C3" w:rsidP="00A038C3">
      <w:pPr>
        <w:pStyle w:val="Paragraphedeliste"/>
        <w:numPr>
          <w:ilvl w:val="0"/>
          <w:numId w:val="1"/>
        </w:numPr>
        <w:spacing w:line="240" w:lineRule="auto"/>
        <w:rPr>
          <w:rFonts w:cs="Arial"/>
          <w:b/>
          <w:bCs/>
          <w:u w:val="single"/>
        </w:rPr>
      </w:pPr>
      <w:r w:rsidRPr="00A038C3">
        <w:rPr>
          <w:rFonts w:cs="Arial"/>
        </w:rPr>
        <w:t>Vaccins à ARN-m : ces vaccins contiennent de l’ARN messager codant pour une protéine identique à un antigène d’un agent pathogène (COVID-19). L’ARN messager reste dans le cytoplasme et ne peut pas entrer dans le noyau où se trouve l’ADN.</w:t>
      </w:r>
    </w:p>
    <w:p w14:paraId="7D1D2804" w14:textId="77777777" w:rsidR="00A038C3" w:rsidRPr="00A038C3" w:rsidRDefault="00A038C3" w:rsidP="00A038C3">
      <w:pPr>
        <w:spacing w:line="240" w:lineRule="auto"/>
        <w:rPr>
          <w:rFonts w:cs="Arial"/>
          <w:bCs/>
          <w:u w:val="single"/>
        </w:rPr>
      </w:pPr>
    </w:p>
    <w:p w14:paraId="62950A80" w14:textId="77777777" w:rsidR="00A038C3" w:rsidRPr="00A038C3" w:rsidRDefault="00A038C3" w:rsidP="00A038C3">
      <w:pPr>
        <w:pStyle w:val="Titre2"/>
        <w:spacing w:before="0" w:after="0" w:line="240" w:lineRule="auto"/>
        <w:rPr>
          <w:rFonts w:ascii="Arial" w:hAnsi="Arial" w:cs="Arial"/>
          <w:b/>
          <w:bCs/>
          <w:color w:val="auto"/>
        </w:rPr>
      </w:pPr>
      <w:bookmarkStart w:id="2" w:name="_Toc111135462"/>
      <w:r w:rsidRPr="00A038C3">
        <w:rPr>
          <w:rFonts w:ascii="Arial" w:hAnsi="Arial" w:cs="Arial"/>
          <w:b/>
          <w:bCs/>
          <w:color w:val="auto"/>
        </w:rPr>
        <w:t>Les vaccins contre le Coronavirus Sars-CoV-2 : COVID-19</w:t>
      </w:r>
      <w:bookmarkEnd w:id="2"/>
    </w:p>
    <w:p w14:paraId="0AC0C3D1" w14:textId="77777777" w:rsidR="00A038C3" w:rsidRPr="00A038C3" w:rsidRDefault="00A038C3" w:rsidP="00A038C3">
      <w:pPr>
        <w:spacing w:line="240" w:lineRule="auto"/>
        <w:rPr>
          <w:rFonts w:cs="Arial"/>
          <w:lang w:eastAsia="fr-FR"/>
        </w:rPr>
      </w:pPr>
    </w:p>
    <w:p w14:paraId="2024F14F" w14:textId="77777777" w:rsidR="00A038C3" w:rsidRPr="00A038C3" w:rsidRDefault="00A038C3" w:rsidP="00A038C3">
      <w:pPr>
        <w:spacing w:line="240" w:lineRule="auto"/>
        <w:rPr>
          <w:rFonts w:cs="Arial"/>
        </w:rPr>
      </w:pPr>
      <w:r w:rsidRPr="00A038C3">
        <w:rPr>
          <w:rFonts w:cs="Arial"/>
        </w:rPr>
        <w:t>L’ampleur de la pandémie a nécessité la mise en œuvre de moyens considérables en vue du développement urgent d’un vaccin.</w:t>
      </w:r>
    </w:p>
    <w:p w14:paraId="444A2902" w14:textId="77777777" w:rsidR="00A038C3" w:rsidRPr="00A038C3" w:rsidRDefault="00A038C3" w:rsidP="00A038C3">
      <w:pPr>
        <w:spacing w:line="240" w:lineRule="auto"/>
        <w:rPr>
          <w:rFonts w:cs="Arial"/>
        </w:rPr>
      </w:pPr>
    </w:p>
    <w:p w14:paraId="6C140C3D" w14:textId="77777777" w:rsidR="00A038C3" w:rsidRPr="002336FE" w:rsidRDefault="00A038C3" w:rsidP="002336FE">
      <w:pPr>
        <w:pStyle w:val="Titre3"/>
      </w:pPr>
      <w:bookmarkStart w:id="3" w:name="_Toc111135463"/>
      <w:r w:rsidRPr="002336FE">
        <w:t>Fabrication</w:t>
      </w:r>
      <w:bookmarkEnd w:id="3"/>
    </w:p>
    <w:p w14:paraId="58266A2F" w14:textId="77777777" w:rsidR="00A038C3" w:rsidRPr="00A038C3" w:rsidRDefault="00A038C3" w:rsidP="00A038C3">
      <w:pPr>
        <w:spacing w:line="240" w:lineRule="auto"/>
        <w:rPr>
          <w:rFonts w:cs="Arial"/>
        </w:rPr>
      </w:pPr>
      <w:r w:rsidRPr="00A038C3">
        <w:rPr>
          <w:rFonts w:cs="Arial"/>
        </w:rPr>
        <w:t>Les contraintes liées à l’innocuité, à l’efficacité, au délai, à la capacité de production, aux contrôles règlementaires ont été déterminantes dans l’obtention des premiers vaccins, en l’occurrence des vaccins à ARN-m.</w:t>
      </w:r>
    </w:p>
    <w:p w14:paraId="54C467D0" w14:textId="77777777" w:rsidR="00A038C3" w:rsidRPr="00A038C3" w:rsidRDefault="00A038C3" w:rsidP="00A038C3">
      <w:pPr>
        <w:spacing w:line="240" w:lineRule="auto"/>
        <w:rPr>
          <w:rFonts w:cs="Arial"/>
        </w:rPr>
      </w:pPr>
      <w:r w:rsidRPr="00A038C3">
        <w:rPr>
          <w:rFonts w:cs="Arial"/>
        </w:rPr>
        <w:t>Des recherches et des essais avaient déjà été entrepris contre deux autres coronavirus, le SRAS et le MERS-</w:t>
      </w:r>
      <w:proofErr w:type="spellStart"/>
      <w:r w:rsidRPr="00A038C3">
        <w:rPr>
          <w:rFonts w:cs="Arial"/>
        </w:rPr>
        <w:t>CoV</w:t>
      </w:r>
      <w:proofErr w:type="spellEnd"/>
      <w:r w:rsidRPr="00A038C3">
        <w:rPr>
          <w:rFonts w:cs="Arial"/>
        </w:rPr>
        <w:t xml:space="preserve">, mais avaient été interrompus en raison du nombre relativement faible de personnes atteintes. Cela explique que les vaccins contre le COVID-19 ont pu être mis au point en un temps record : de fabrication relativement aisée, ils se sont avérés efficaces et sûrs lors d’essais cliniques avant d’être approuvés (essai conduit sur plus de 40 000 personnes dans le cas du </w:t>
      </w:r>
      <w:proofErr w:type="spellStart"/>
      <w:r w:rsidRPr="00A038C3">
        <w:rPr>
          <w:rFonts w:cs="Arial"/>
        </w:rPr>
        <w:t>Comirnaty</w:t>
      </w:r>
      <w:proofErr w:type="spellEnd"/>
      <w:r w:rsidRPr="00A038C3">
        <w:rPr>
          <w:rFonts w:cs="Arial"/>
        </w:rPr>
        <w:t>® par exemple).</w:t>
      </w:r>
    </w:p>
    <w:p w14:paraId="0DCF6F22" w14:textId="77777777" w:rsidR="00A038C3" w:rsidRPr="00A038C3" w:rsidRDefault="00A038C3" w:rsidP="00A038C3">
      <w:pPr>
        <w:shd w:val="clear" w:color="auto" w:fill="FFFFFF"/>
        <w:spacing w:line="240" w:lineRule="auto"/>
        <w:rPr>
          <w:rFonts w:cs="Arial"/>
        </w:rPr>
      </w:pPr>
      <w:r w:rsidRPr="00A038C3">
        <w:rPr>
          <w:rFonts w:cs="Arial"/>
        </w:rPr>
        <w:t>Par ailleurs, les scientifiques étudient l’utilisation de l’ARNm dans les vaccins depuis plusieurs années. Ce type de vaccin est testé contre des cibles variées, dans le domaine des maladies infectieuses et de la cancérologie et les essais ont démontré la parfaite tolérance de ce type de vaccins.</w:t>
      </w:r>
    </w:p>
    <w:p w14:paraId="69E71349" w14:textId="77777777" w:rsidR="00A038C3" w:rsidRPr="00A038C3" w:rsidRDefault="00A038C3" w:rsidP="00A038C3">
      <w:pPr>
        <w:shd w:val="clear" w:color="auto" w:fill="FFFFFF"/>
        <w:spacing w:line="240" w:lineRule="auto"/>
        <w:rPr>
          <w:rFonts w:cs="Arial"/>
        </w:rPr>
      </w:pPr>
    </w:p>
    <w:p w14:paraId="3B2A371A" w14:textId="45918047" w:rsidR="00A038C3" w:rsidRPr="00A038C3" w:rsidRDefault="002336FE" w:rsidP="00A038C3">
      <w:pPr>
        <w:spacing w:line="240" w:lineRule="auto"/>
        <w:rPr>
          <w:rFonts w:cs="Arial"/>
        </w:rPr>
      </w:pPr>
      <w:r>
        <w:rPr>
          <w:rFonts w:cs="Arial"/>
        </w:rPr>
        <w:t>L</w:t>
      </w:r>
      <w:r w:rsidR="00A038C3" w:rsidRPr="00A038C3">
        <w:rPr>
          <w:rFonts w:cs="Arial"/>
        </w:rPr>
        <w:t>a sécurité et l’efficacité des vaccins contre le Covid-19 sont étudiées avec rigueur et selon les procédures habituelles. Au niveau européen, c’est l’Agence européenne du médicament (EMA) qui s’en charge. Fin janvier 2022, plus de 10 milliards de doses ont déjà été administrées dans le monde.</w:t>
      </w:r>
    </w:p>
    <w:p w14:paraId="5D90AF6B" w14:textId="7A67D9BF" w:rsidR="00A038C3" w:rsidRDefault="00A038C3" w:rsidP="00A038C3">
      <w:pPr>
        <w:spacing w:line="240" w:lineRule="auto"/>
        <w:rPr>
          <w:rFonts w:cs="Arial"/>
        </w:rPr>
      </w:pPr>
    </w:p>
    <w:p w14:paraId="7D196E4B" w14:textId="53A92177" w:rsidR="002336FE" w:rsidRDefault="002336FE" w:rsidP="00A038C3">
      <w:pPr>
        <w:spacing w:line="240" w:lineRule="auto"/>
        <w:rPr>
          <w:rFonts w:cs="Arial"/>
        </w:rPr>
      </w:pPr>
    </w:p>
    <w:p w14:paraId="1A75B391" w14:textId="30767348" w:rsidR="002336FE" w:rsidRDefault="002336FE" w:rsidP="00A038C3">
      <w:pPr>
        <w:spacing w:line="240" w:lineRule="auto"/>
        <w:rPr>
          <w:rFonts w:cs="Arial"/>
        </w:rPr>
      </w:pPr>
    </w:p>
    <w:p w14:paraId="4B314E13" w14:textId="3D8CFC3B" w:rsidR="002336FE" w:rsidRDefault="002336FE" w:rsidP="00A038C3">
      <w:pPr>
        <w:spacing w:line="240" w:lineRule="auto"/>
        <w:rPr>
          <w:rFonts w:cs="Arial"/>
        </w:rPr>
      </w:pPr>
    </w:p>
    <w:p w14:paraId="64B5284A" w14:textId="14D79C51" w:rsidR="002336FE" w:rsidRDefault="002336FE" w:rsidP="00A038C3">
      <w:pPr>
        <w:spacing w:line="240" w:lineRule="auto"/>
        <w:rPr>
          <w:rFonts w:cs="Arial"/>
        </w:rPr>
      </w:pPr>
    </w:p>
    <w:p w14:paraId="2E948573" w14:textId="12D06532" w:rsidR="002336FE" w:rsidRDefault="002336FE" w:rsidP="00A038C3">
      <w:pPr>
        <w:spacing w:line="240" w:lineRule="auto"/>
        <w:rPr>
          <w:rFonts w:cs="Arial"/>
        </w:rPr>
      </w:pPr>
    </w:p>
    <w:p w14:paraId="5FC6EF87" w14:textId="6DDFE901" w:rsidR="002336FE" w:rsidRDefault="002336FE" w:rsidP="00A038C3">
      <w:pPr>
        <w:spacing w:line="240" w:lineRule="auto"/>
        <w:rPr>
          <w:rFonts w:cs="Arial"/>
        </w:rPr>
      </w:pPr>
    </w:p>
    <w:p w14:paraId="41FAB8D5" w14:textId="234540B6" w:rsidR="002336FE" w:rsidRPr="00A038C3" w:rsidRDefault="002336FE" w:rsidP="00A038C3">
      <w:pPr>
        <w:spacing w:line="240" w:lineRule="auto"/>
        <w:rPr>
          <w:rFonts w:cs="Arial"/>
        </w:rPr>
      </w:pPr>
      <w:r w:rsidRPr="00A038C3">
        <w:rPr>
          <w:rFonts w:cs="Arial"/>
          <w:noProof/>
          <w:lang w:eastAsia="fr-FR"/>
        </w:rPr>
        <w:lastRenderedPageBreak/>
        <mc:AlternateContent>
          <mc:Choice Requires="wps">
            <w:drawing>
              <wp:anchor distT="0" distB="0" distL="114300" distR="114300" simplePos="0" relativeHeight="251661312" behindDoc="0" locked="0" layoutInCell="1" allowOverlap="1" wp14:anchorId="556274B6" wp14:editId="004F37A5">
                <wp:simplePos x="0" y="0"/>
                <wp:positionH relativeFrom="margin">
                  <wp:posOffset>-191770</wp:posOffset>
                </wp:positionH>
                <wp:positionV relativeFrom="paragraph">
                  <wp:posOffset>-66675</wp:posOffset>
                </wp:positionV>
                <wp:extent cx="6962775" cy="9888279"/>
                <wp:effectExtent l="19050" t="19050" r="28575" b="17780"/>
                <wp:wrapNone/>
                <wp:docPr id="127" name="Rectangle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88279"/>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10D0EC" id="Rectangle 127" o:spid="_x0000_s1026" style="position:absolute;margin-left:-15.1pt;margin-top:-5.25pt;width:548.25pt;height:778.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" filled="f" strokecolor="#1f396c" strokeweight="2.25pt">
                <w10:wrap anchorx="margin"/>
              </v:rect>
            </w:pict>
          </mc:Fallback>
        </mc:AlternateContent>
      </w:r>
    </w:p>
    <w:p w14:paraId="12A686F2" w14:textId="09FA70F5" w:rsidR="00A038C3" w:rsidRPr="00A038C3" w:rsidRDefault="00A038C3" w:rsidP="00A038C3">
      <w:pPr>
        <w:spacing w:line="240" w:lineRule="auto"/>
        <w:rPr>
          <w:rFonts w:cs="Arial"/>
        </w:rPr>
      </w:pPr>
      <w:r w:rsidRPr="00A038C3">
        <w:rPr>
          <w:rFonts w:cs="Arial"/>
          <w:noProof/>
          <w:lang w:eastAsia="fr-FR"/>
        </w:rPr>
        <w:drawing>
          <wp:anchor distT="0" distB="0" distL="114300" distR="114300" simplePos="0" relativeHeight="251662336" behindDoc="0" locked="0" layoutInCell="1" allowOverlap="1" wp14:anchorId="32A9272E" wp14:editId="1E50CB95">
            <wp:simplePos x="0" y="0"/>
            <wp:positionH relativeFrom="column">
              <wp:posOffset>6304575</wp:posOffset>
            </wp:positionH>
            <wp:positionV relativeFrom="page">
              <wp:posOffset>106326</wp:posOffset>
            </wp:positionV>
            <wp:extent cx="719455" cy="724535"/>
            <wp:effectExtent l="0" t="0" r="4445" b="0"/>
            <wp:wrapSquare wrapText="bothSides"/>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24535"/>
                    </a:xfrm>
                    <a:prstGeom prst="rect">
                      <a:avLst/>
                    </a:prstGeom>
                    <a:noFill/>
                  </pic:spPr>
                </pic:pic>
              </a:graphicData>
            </a:graphic>
            <wp14:sizeRelH relativeFrom="margin">
              <wp14:pctWidth>0</wp14:pctWidth>
            </wp14:sizeRelH>
            <wp14:sizeRelV relativeFrom="margin">
              <wp14:pctHeight>0</wp14:pctHeight>
            </wp14:sizeRelV>
          </wp:anchor>
        </w:drawing>
      </w:r>
      <w:r w:rsidRPr="00A038C3">
        <w:rPr>
          <w:rFonts w:cs="Arial"/>
        </w:rPr>
        <w:t xml:space="preserve">Actuellement (janvier 2022) cinq vaccins sont autorisés </w:t>
      </w:r>
      <w:r w:rsidR="002336FE">
        <w:rPr>
          <w:rFonts w:cs="Arial"/>
        </w:rPr>
        <w:t>au Luxembourg</w:t>
      </w:r>
      <w:r w:rsidRPr="00A038C3">
        <w:rPr>
          <w:rFonts w:cs="Arial"/>
        </w:rPr>
        <w:t> :</w:t>
      </w:r>
    </w:p>
    <w:p w14:paraId="1993BB0C" w14:textId="006689A1" w:rsidR="00A038C3" w:rsidRPr="00A038C3" w:rsidRDefault="00A038C3" w:rsidP="00A038C3">
      <w:pPr>
        <w:numPr>
          <w:ilvl w:val="0"/>
          <w:numId w:val="3"/>
        </w:numPr>
        <w:tabs>
          <w:tab w:val="clear" w:pos="720"/>
        </w:tabs>
        <w:spacing w:line="240" w:lineRule="auto"/>
        <w:ind w:left="426"/>
        <w:rPr>
          <w:rFonts w:cs="Arial"/>
        </w:rPr>
      </w:pPr>
      <w:proofErr w:type="spellStart"/>
      <w:r w:rsidRPr="00A038C3">
        <w:rPr>
          <w:rFonts w:cs="Arial"/>
        </w:rPr>
        <w:t>Comirnaty</w:t>
      </w:r>
      <w:proofErr w:type="spellEnd"/>
      <w:r w:rsidRPr="00A038C3">
        <w:rPr>
          <w:rFonts w:cs="Arial"/>
        </w:rPr>
        <w:t>® du laboratoire Pfizer/</w:t>
      </w:r>
      <w:proofErr w:type="spellStart"/>
      <w:r w:rsidRPr="00A038C3">
        <w:rPr>
          <w:rFonts w:cs="Arial"/>
        </w:rPr>
        <w:t>BioNTech</w:t>
      </w:r>
      <w:proofErr w:type="spellEnd"/>
      <w:r w:rsidRPr="00A038C3">
        <w:rPr>
          <w:rFonts w:cs="Arial"/>
        </w:rPr>
        <w:t xml:space="preserve"> (Vaccin à ARN-m)</w:t>
      </w:r>
    </w:p>
    <w:p w14:paraId="537B79A0" w14:textId="21830492" w:rsidR="00A038C3" w:rsidRPr="00A038C3" w:rsidRDefault="00A038C3" w:rsidP="00A038C3">
      <w:pPr>
        <w:numPr>
          <w:ilvl w:val="0"/>
          <w:numId w:val="3"/>
        </w:numPr>
        <w:tabs>
          <w:tab w:val="clear" w:pos="720"/>
        </w:tabs>
        <w:spacing w:line="240" w:lineRule="auto"/>
        <w:ind w:left="426"/>
        <w:rPr>
          <w:rFonts w:cs="Arial"/>
        </w:rPr>
      </w:pPr>
      <w:proofErr w:type="spellStart"/>
      <w:r w:rsidRPr="00A038C3">
        <w:rPr>
          <w:rFonts w:cs="Arial"/>
        </w:rPr>
        <w:t>Spikevax</w:t>
      </w:r>
      <w:proofErr w:type="spellEnd"/>
      <w:r w:rsidRPr="00A038C3">
        <w:rPr>
          <w:rFonts w:cs="Arial"/>
        </w:rPr>
        <w:t xml:space="preserve">® du laboratoire </w:t>
      </w:r>
      <w:proofErr w:type="spellStart"/>
      <w:r w:rsidRPr="00A038C3">
        <w:rPr>
          <w:rFonts w:cs="Arial"/>
        </w:rPr>
        <w:t>Moderna</w:t>
      </w:r>
      <w:proofErr w:type="spellEnd"/>
      <w:r w:rsidRPr="00A038C3">
        <w:rPr>
          <w:rFonts w:cs="Arial"/>
        </w:rPr>
        <w:t xml:space="preserve"> (Vaccin à ARN-m)</w:t>
      </w:r>
    </w:p>
    <w:p w14:paraId="42F5C6CB" w14:textId="76C204F1" w:rsidR="00A038C3" w:rsidRPr="00A038C3" w:rsidRDefault="00A038C3" w:rsidP="00A038C3">
      <w:pPr>
        <w:numPr>
          <w:ilvl w:val="0"/>
          <w:numId w:val="3"/>
        </w:numPr>
        <w:tabs>
          <w:tab w:val="clear" w:pos="720"/>
        </w:tabs>
        <w:spacing w:line="240" w:lineRule="auto"/>
        <w:ind w:left="426"/>
        <w:rPr>
          <w:rFonts w:cs="Arial"/>
        </w:rPr>
      </w:pPr>
      <w:proofErr w:type="spellStart"/>
      <w:r w:rsidRPr="00A038C3">
        <w:rPr>
          <w:rFonts w:cs="Arial"/>
        </w:rPr>
        <w:t>Vaxzevria</w:t>
      </w:r>
      <w:proofErr w:type="spellEnd"/>
      <w:r w:rsidRPr="00A038C3">
        <w:rPr>
          <w:rFonts w:cs="Arial"/>
        </w:rPr>
        <w:t xml:space="preserve">® du laboratoire </w:t>
      </w:r>
      <w:proofErr w:type="spellStart"/>
      <w:r w:rsidRPr="00A038C3">
        <w:rPr>
          <w:rFonts w:cs="Arial"/>
        </w:rPr>
        <w:t>AstraZeneca</w:t>
      </w:r>
      <w:proofErr w:type="spellEnd"/>
      <w:r w:rsidRPr="00A038C3">
        <w:rPr>
          <w:rFonts w:cs="Arial"/>
        </w:rPr>
        <w:t xml:space="preserve"> (Vaccin à vecteur viral)</w:t>
      </w:r>
    </w:p>
    <w:p w14:paraId="69D82127" w14:textId="08643714" w:rsidR="00A038C3" w:rsidRPr="00A038C3" w:rsidRDefault="00A038C3" w:rsidP="00A038C3">
      <w:pPr>
        <w:numPr>
          <w:ilvl w:val="0"/>
          <w:numId w:val="3"/>
        </w:numPr>
        <w:tabs>
          <w:tab w:val="clear" w:pos="720"/>
        </w:tabs>
        <w:spacing w:line="240" w:lineRule="auto"/>
        <w:ind w:left="426"/>
        <w:rPr>
          <w:rFonts w:cs="Arial"/>
        </w:rPr>
      </w:pPr>
      <w:r w:rsidRPr="00A038C3">
        <w:rPr>
          <w:rFonts w:cs="Arial"/>
        </w:rPr>
        <w:t>COVID-19 Vaccine Janssen® du laboratoire Janssen-</w:t>
      </w:r>
      <w:proofErr w:type="spellStart"/>
      <w:r w:rsidRPr="00A038C3">
        <w:rPr>
          <w:rFonts w:cs="Arial"/>
        </w:rPr>
        <w:t>Cilag</w:t>
      </w:r>
      <w:proofErr w:type="spellEnd"/>
      <w:r w:rsidRPr="00A038C3">
        <w:rPr>
          <w:rFonts w:cs="Arial"/>
        </w:rPr>
        <w:t xml:space="preserve"> international (Vaccin à vecteur viral)</w:t>
      </w:r>
    </w:p>
    <w:p w14:paraId="237CB2FB" w14:textId="77777777" w:rsidR="00A038C3" w:rsidRPr="00A038C3" w:rsidRDefault="00A038C3" w:rsidP="00A038C3">
      <w:pPr>
        <w:numPr>
          <w:ilvl w:val="0"/>
          <w:numId w:val="3"/>
        </w:numPr>
        <w:tabs>
          <w:tab w:val="clear" w:pos="720"/>
        </w:tabs>
        <w:spacing w:line="240" w:lineRule="auto"/>
        <w:ind w:left="426"/>
        <w:rPr>
          <w:rFonts w:cs="Arial"/>
        </w:rPr>
      </w:pPr>
      <w:proofErr w:type="spellStart"/>
      <w:r w:rsidRPr="00A038C3">
        <w:rPr>
          <w:rFonts w:cs="Arial"/>
        </w:rPr>
        <w:t>Nuvaxovid</w:t>
      </w:r>
      <w:proofErr w:type="spellEnd"/>
      <w:r w:rsidRPr="00A038C3">
        <w:rPr>
          <w:rFonts w:cs="Arial"/>
        </w:rPr>
        <w:t xml:space="preserve">® du laboratoire </w:t>
      </w:r>
      <w:proofErr w:type="spellStart"/>
      <w:r w:rsidRPr="00A038C3">
        <w:rPr>
          <w:rFonts w:cs="Arial"/>
        </w:rPr>
        <w:t>Novavax</w:t>
      </w:r>
      <w:proofErr w:type="spellEnd"/>
      <w:r w:rsidRPr="00A038C3">
        <w:rPr>
          <w:rFonts w:cs="Arial"/>
        </w:rPr>
        <w:t xml:space="preserve"> (Vaccin à vecteur viral)</w:t>
      </w:r>
    </w:p>
    <w:p w14:paraId="01EB0A8C" w14:textId="1094409F" w:rsidR="00A038C3" w:rsidRPr="00A038C3" w:rsidRDefault="00A038C3" w:rsidP="00A038C3">
      <w:pPr>
        <w:spacing w:line="240" w:lineRule="auto"/>
        <w:rPr>
          <w:rFonts w:cs="Arial"/>
        </w:rPr>
      </w:pPr>
      <w:r w:rsidRPr="00A038C3">
        <w:rPr>
          <w:rFonts w:cs="Arial"/>
        </w:rPr>
        <w:t>Ces vaccins sont dirigés contre une protéine de surface du COVID-19 : la protéine Spike. Ils ne peuvent pas induire une positivité aux tests PCR ou aux tests rapides antigéniques ni déclencher une infection à COVID-19.</w:t>
      </w:r>
    </w:p>
    <w:p w14:paraId="31005BA7" w14:textId="77777777" w:rsidR="00A038C3" w:rsidRPr="00A038C3" w:rsidRDefault="00A038C3" w:rsidP="00A038C3">
      <w:pPr>
        <w:spacing w:line="240" w:lineRule="auto"/>
        <w:rPr>
          <w:rFonts w:cs="Arial"/>
        </w:rPr>
      </w:pPr>
    </w:p>
    <w:p w14:paraId="75C8D163" w14:textId="14691B02" w:rsidR="00A038C3" w:rsidRPr="00A038C3" w:rsidRDefault="00A038C3" w:rsidP="002336FE">
      <w:pPr>
        <w:pStyle w:val="Titre3"/>
      </w:pPr>
      <w:bookmarkStart w:id="4" w:name="_Toc111135464"/>
      <w:r w:rsidRPr="00A038C3">
        <w:t>Efficacité</w:t>
      </w:r>
      <w:bookmarkEnd w:id="4"/>
    </w:p>
    <w:p w14:paraId="3415AAE4" w14:textId="533947B1" w:rsidR="00A038C3" w:rsidRPr="00A038C3" w:rsidRDefault="00A038C3" w:rsidP="00A038C3">
      <w:pPr>
        <w:spacing w:line="240" w:lineRule="auto"/>
        <w:rPr>
          <w:rFonts w:cs="Arial"/>
        </w:rPr>
      </w:pPr>
      <w:r w:rsidRPr="00A038C3">
        <w:rPr>
          <w:rFonts w:cs="Arial"/>
        </w:rPr>
        <w:t>Actuellement on estime que les différents vaccins demeurent très efficaces pour prévenir les formes graves de COVID-19 pour les différents variants connus (Alpha, Beta, Gamma, Delta et Omicron). Cependant, leur efficacité risque d’être menacée par les mutations successives affectant la protéine spike et l’émergence de nouveaux variants ce qui peut nécessiter une adaptation du vaccin. C’est ce qui se passe pour la grippe dont les virus mutent régulièrement ce qui nécessite l’adaptation du vaccin et explique pourquoi on conseille aux personnes à risque de se faire vacciner tous les ans.</w:t>
      </w:r>
    </w:p>
    <w:p w14:paraId="3E49C445" w14:textId="77777777" w:rsidR="00A038C3" w:rsidRPr="00A038C3" w:rsidRDefault="00A038C3" w:rsidP="00A038C3">
      <w:pPr>
        <w:pStyle w:val="NormalWeb"/>
        <w:spacing w:before="0" w:beforeAutospacing="0" w:after="0" w:afterAutospacing="0"/>
        <w:rPr>
          <w:rFonts w:ascii="Arial" w:eastAsiaTheme="minorEastAsia" w:hAnsi="Arial" w:cs="Arial"/>
          <w:color w:val="auto"/>
        </w:rPr>
      </w:pPr>
      <w:r w:rsidRPr="00A038C3">
        <w:rPr>
          <w:rFonts w:ascii="Arial" w:eastAsiaTheme="minorEastAsia" w:hAnsi="Arial" w:cs="Arial"/>
          <w:color w:val="auto"/>
        </w:rPr>
        <w:t>Par ailleurs, l’efficacité vaccinale diminue avec le temps et certains variant très transmissibles, comme omicron, nécessitent un rappel pour maintenir une protection suffisante.</w:t>
      </w:r>
    </w:p>
    <w:p w14:paraId="2EFB63EF" w14:textId="1B90F64A" w:rsidR="00A038C3" w:rsidRPr="00A038C3" w:rsidRDefault="00A038C3" w:rsidP="00A038C3">
      <w:pPr>
        <w:pStyle w:val="NormalWeb"/>
        <w:spacing w:before="0" w:beforeAutospacing="0" w:after="0" w:afterAutospacing="0"/>
        <w:rPr>
          <w:rFonts w:ascii="Arial" w:eastAsiaTheme="minorEastAsia" w:hAnsi="Arial" w:cs="Arial"/>
          <w:color w:val="auto"/>
        </w:rPr>
      </w:pPr>
    </w:p>
    <w:p w14:paraId="7D358BA2" w14:textId="0FFB09C6" w:rsidR="00A038C3" w:rsidRPr="00A038C3" w:rsidRDefault="00A038C3" w:rsidP="002336FE">
      <w:pPr>
        <w:pStyle w:val="Titre3"/>
      </w:pPr>
      <w:bookmarkStart w:id="5" w:name="_Toc111135465"/>
      <w:r w:rsidRPr="00A038C3">
        <w:t>Stratégie vaccinale</w:t>
      </w:r>
      <w:bookmarkEnd w:id="5"/>
    </w:p>
    <w:p w14:paraId="415231C1" w14:textId="6425A943" w:rsidR="002336FE" w:rsidRPr="002336FE" w:rsidRDefault="002336FE" w:rsidP="002336FE">
      <w:pPr>
        <w:jc w:val="both"/>
        <w:rPr>
          <w:rFonts w:eastAsia="Calibri" w:cs="Arial"/>
          <w:color w:val="000000"/>
          <w:kern w:val="24"/>
          <w:lang w:eastAsia="fr-FR"/>
        </w:rPr>
      </w:pPr>
      <w:bookmarkStart w:id="6" w:name="_Toc111135466"/>
      <w:r w:rsidRPr="002336FE">
        <w:rPr>
          <w:rFonts w:eastAsia="Calibri" w:cs="Arial"/>
          <w:bCs/>
          <w:color w:val="000000"/>
          <w:kern w:val="24"/>
          <w:lang w:eastAsia="fr-FR"/>
        </w:rPr>
        <w:t>Au Luxembourg la vaccination est recommandée à :  </w:t>
      </w:r>
    </w:p>
    <w:p w14:paraId="094B907C" w14:textId="2587641A" w:rsidR="002336FE" w:rsidRPr="002336FE" w:rsidRDefault="002336FE" w:rsidP="002336FE">
      <w:pPr>
        <w:numPr>
          <w:ilvl w:val="0"/>
          <w:numId w:val="5"/>
        </w:numPr>
        <w:jc w:val="both"/>
        <w:rPr>
          <w:rFonts w:eastAsia="Calibri" w:cs="Arial"/>
          <w:color w:val="000000"/>
          <w:kern w:val="24"/>
          <w:lang w:eastAsia="fr-FR"/>
        </w:rPr>
      </w:pPr>
      <w:proofErr w:type="gramStart"/>
      <w:r w:rsidRPr="002336FE">
        <w:rPr>
          <w:rFonts w:eastAsia="Calibri" w:cs="Arial"/>
          <w:color w:val="000000"/>
          <w:kern w:val="24"/>
          <w:lang w:eastAsia="fr-FR"/>
        </w:rPr>
        <w:t>toutes</w:t>
      </w:r>
      <w:proofErr w:type="gramEnd"/>
      <w:r w:rsidRPr="002336FE">
        <w:rPr>
          <w:rFonts w:eastAsia="Calibri" w:cs="Arial"/>
          <w:color w:val="000000"/>
          <w:kern w:val="24"/>
          <w:lang w:eastAsia="fr-FR"/>
        </w:rPr>
        <w:t xml:space="preserve"> les personnes de 65 ans et plus,</w:t>
      </w:r>
    </w:p>
    <w:p w14:paraId="32F29095" w14:textId="50670A53" w:rsidR="002336FE" w:rsidRPr="002336FE" w:rsidRDefault="002336FE" w:rsidP="002336FE">
      <w:pPr>
        <w:numPr>
          <w:ilvl w:val="0"/>
          <w:numId w:val="5"/>
        </w:numPr>
        <w:jc w:val="both"/>
        <w:rPr>
          <w:rFonts w:eastAsia="Calibri" w:cs="Arial"/>
          <w:color w:val="000000"/>
          <w:kern w:val="24"/>
          <w:lang w:eastAsia="fr-FR"/>
        </w:rPr>
      </w:pPr>
      <w:proofErr w:type="gramStart"/>
      <w:r w:rsidRPr="002336FE">
        <w:rPr>
          <w:rFonts w:eastAsia="Calibri" w:cs="Arial"/>
          <w:color w:val="000000"/>
          <w:kern w:val="24"/>
          <w:lang w:eastAsia="fr-FR"/>
        </w:rPr>
        <w:t>les</w:t>
      </w:r>
      <w:proofErr w:type="gramEnd"/>
      <w:r w:rsidRPr="002336FE">
        <w:rPr>
          <w:rFonts w:eastAsia="Calibri" w:cs="Arial"/>
          <w:color w:val="000000"/>
          <w:kern w:val="24"/>
          <w:lang w:eastAsia="fr-FR"/>
        </w:rPr>
        <w:t xml:space="preserve"> femmes enceintes,</w:t>
      </w:r>
    </w:p>
    <w:p w14:paraId="1EA16C10" w14:textId="4C416FB8" w:rsidR="002336FE" w:rsidRPr="002336FE" w:rsidRDefault="002336FE" w:rsidP="002336FE">
      <w:pPr>
        <w:numPr>
          <w:ilvl w:val="0"/>
          <w:numId w:val="5"/>
        </w:numPr>
        <w:jc w:val="both"/>
        <w:rPr>
          <w:rFonts w:eastAsia="Calibri" w:cs="Arial"/>
          <w:color w:val="000000"/>
          <w:kern w:val="24"/>
          <w:lang w:eastAsia="fr-FR"/>
        </w:rPr>
      </w:pPr>
      <w:proofErr w:type="gramStart"/>
      <w:r w:rsidRPr="002336FE">
        <w:rPr>
          <w:rFonts w:eastAsia="Calibri" w:cs="Arial"/>
          <w:color w:val="000000"/>
          <w:kern w:val="24"/>
          <w:lang w:eastAsia="fr-FR"/>
        </w:rPr>
        <w:t>les</w:t>
      </w:r>
      <w:proofErr w:type="gramEnd"/>
      <w:r w:rsidRPr="002336FE">
        <w:rPr>
          <w:rFonts w:eastAsia="Calibri" w:cs="Arial"/>
          <w:color w:val="000000"/>
          <w:kern w:val="24"/>
          <w:lang w:eastAsia="fr-FR"/>
        </w:rPr>
        <w:t xml:space="preserve"> personnes à risque de forme grave quel que soit leur âge, ainsi que leur entourage et les personnes avec lesquelles elles ont des contacts réguliers,</w:t>
      </w:r>
    </w:p>
    <w:p w14:paraId="31BB63AD" w14:textId="5DC52D4B" w:rsidR="002336FE" w:rsidRPr="002336FE" w:rsidRDefault="002336FE" w:rsidP="002336FE">
      <w:pPr>
        <w:numPr>
          <w:ilvl w:val="0"/>
          <w:numId w:val="5"/>
        </w:numPr>
        <w:jc w:val="both"/>
        <w:rPr>
          <w:rFonts w:eastAsia="Calibri" w:cs="Arial"/>
          <w:color w:val="000000"/>
          <w:kern w:val="24"/>
          <w:lang w:eastAsia="fr-FR"/>
        </w:rPr>
      </w:pPr>
      <w:proofErr w:type="gramStart"/>
      <w:r w:rsidRPr="002336FE">
        <w:rPr>
          <w:rFonts w:eastAsia="Calibri" w:cs="Arial"/>
          <w:color w:val="000000"/>
          <w:kern w:val="24"/>
          <w:lang w:eastAsia="fr-FR"/>
        </w:rPr>
        <w:t>le</w:t>
      </w:r>
      <w:proofErr w:type="gramEnd"/>
      <w:r w:rsidRPr="002336FE">
        <w:rPr>
          <w:rFonts w:eastAsia="Calibri" w:cs="Arial"/>
          <w:color w:val="000000"/>
          <w:kern w:val="24"/>
          <w:lang w:eastAsia="fr-FR"/>
        </w:rPr>
        <w:t xml:space="preserve"> personnel de santé.</w:t>
      </w:r>
    </w:p>
    <w:p w14:paraId="7CEBB0B8" w14:textId="342EAE60" w:rsidR="002336FE" w:rsidRPr="002336FE" w:rsidRDefault="002336FE" w:rsidP="002336FE">
      <w:pPr>
        <w:jc w:val="both"/>
        <w:rPr>
          <w:rFonts w:eastAsia="Calibri" w:cs="Arial"/>
          <w:color w:val="000000"/>
          <w:kern w:val="24"/>
          <w:lang w:eastAsia="fr-FR"/>
        </w:rPr>
      </w:pPr>
      <w:r w:rsidRPr="002336FE">
        <w:rPr>
          <w:rFonts w:eastAsia="Calibri" w:cs="Arial"/>
          <w:i/>
          <w:iCs/>
          <w:color w:val="000000"/>
          <w:kern w:val="24"/>
          <w:lang w:eastAsia="fr-FR"/>
        </w:rPr>
        <w:t>Toute personne désirant être vaccinée même si elle ne fait pas partie des groupes à risque peut se faire vacciner.</w:t>
      </w:r>
    </w:p>
    <w:p w14:paraId="78E790FB" w14:textId="398A190A" w:rsidR="002336FE" w:rsidRPr="002336FE" w:rsidRDefault="002336FE" w:rsidP="002336FE">
      <w:pPr>
        <w:jc w:val="both"/>
        <w:rPr>
          <w:rFonts w:eastAsia="Calibri" w:cs="Arial"/>
          <w:color w:val="000000"/>
          <w:kern w:val="24"/>
        </w:rPr>
      </w:pPr>
    </w:p>
    <w:p w14:paraId="66B1DD0D" w14:textId="7BF58C8F" w:rsidR="002336FE" w:rsidRPr="002336FE" w:rsidRDefault="002336FE" w:rsidP="002336FE">
      <w:pPr>
        <w:jc w:val="both"/>
        <w:rPr>
          <w:rFonts w:eastAsia="Calibri" w:cs="Arial"/>
          <w:color w:val="000000"/>
          <w:kern w:val="24"/>
          <w:lang w:eastAsia="fr-FR"/>
        </w:rPr>
      </w:pPr>
      <w:r w:rsidRPr="002336FE">
        <w:rPr>
          <w:rFonts w:eastAsia="Calibri" w:cs="Arial"/>
          <w:color w:val="000000"/>
          <w:kern w:val="24"/>
          <w:lang w:eastAsia="fr-FR"/>
        </w:rPr>
        <w:t>La vaccination contre la COVID-19 est recommandée pour les enfants présentant des facteurs de risque sévères. La vaccination peut être proposée aux enfants sans immunité au SARS-CoV-2 préalable (absence d’infection préalable).</w:t>
      </w:r>
    </w:p>
    <w:p w14:paraId="507A1CE7" w14:textId="0A642D95" w:rsidR="002336FE" w:rsidRPr="002336FE" w:rsidRDefault="002336FE" w:rsidP="002336FE">
      <w:pPr>
        <w:jc w:val="both"/>
        <w:rPr>
          <w:rFonts w:eastAsia="Calibri" w:cs="Arial"/>
          <w:color w:val="000000"/>
          <w:kern w:val="24"/>
          <w:lang w:eastAsia="fr-FR"/>
        </w:rPr>
      </w:pPr>
      <w:r w:rsidRPr="002336FE">
        <w:rPr>
          <w:rFonts w:eastAsia="Calibri" w:cs="Arial"/>
          <w:i/>
          <w:iCs/>
          <w:color w:val="000000"/>
          <w:kern w:val="24"/>
          <w:lang w:eastAsia="fr-FR"/>
        </w:rPr>
        <w:t xml:space="preserve">La vaccination contre la COVID-19 des enfants en bonne santé avec des antécédents d’infection COVID-19 n’est pas recommandée. </w:t>
      </w:r>
    </w:p>
    <w:p w14:paraId="08436180" w14:textId="77777777" w:rsidR="00A038C3" w:rsidRPr="00A038C3" w:rsidRDefault="00A038C3" w:rsidP="00A038C3">
      <w:pPr>
        <w:pStyle w:val="NormalWeb"/>
        <w:spacing w:before="0" w:beforeAutospacing="0" w:after="0" w:afterAutospacing="0"/>
        <w:rPr>
          <w:rFonts w:ascii="Arial" w:eastAsia="Calibri" w:hAnsi="Arial" w:cs="Arial"/>
          <w:color w:val="auto"/>
          <w:kern w:val="24"/>
          <w:lang w:eastAsia="en-US"/>
        </w:rPr>
      </w:pPr>
    </w:p>
    <w:p w14:paraId="1C00184F" w14:textId="77777777" w:rsidR="00A038C3" w:rsidRPr="00A038C3" w:rsidRDefault="00A038C3" w:rsidP="002336FE">
      <w:pPr>
        <w:pStyle w:val="Titre3"/>
      </w:pPr>
      <w:r w:rsidRPr="00A038C3">
        <w:t>Couverture vaccinale</w:t>
      </w:r>
      <w:bookmarkEnd w:id="6"/>
    </w:p>
    <w:p w14:paraId="4AB15A00" w14:textId="77777777" w:rsidR="00A038C3" w:rsidRPr="00A038C3" w:rsidRDefault="00A038C3" w:rsidP="00A038C3">
      <w:pPr>
        <w:spacing w:line="240" w:lineRule="auto"/>
        <w:rPr>
          <w:rFonts w:eastAsia="Times New Roman" w:cs="Arial"/>
          <w:kern w:val="24"/>
          <w:lang w:eastAsia="fr-FR"/>
        </w:rPr>
      </w:pPr>
      <w:r w:rsidRPr="00A038C3">
        <w:rPr>
          <w:rFonts w:eastAsia="Times New Roman" w:cs="Arial"/>
          <w:kern w:val="24"/>
          <w:lang w:eastAsia="fr-FR"/>
        </w:rPr>
        <w:t>L’obtention d’une couverture vaccinale suffisante au sein de la population demeure le moyen le plus efficace permettant :</w:t>
      </w:r>
    </w:p>
    <w:p w14:paraId="10D6A0E6" w14:textId="77777777" w:rsidR="00A038C3" w:rsidRPr="00A038C3" w:rsidRDefault="00A038C3" w:rsidP="00A038C3">
      <w:pPr>
        <w:numPr>
          <w:ilvl w:val="0"/>
          <w:numId w:val="2"/>
        </w:numPr>
        <w:spacing w:line="240" w:lineRule="auto"/>
        <w:ind w:left="426"/>
        <w:rPr>
          <w:rFonts w:eastAsia="Times New Roman" w:cs="Arial"/>
          <w:lang w:eastAsia="fr-FR"/>
        </w:rPr>
      </w:pPr>
      <w:r w:rsidRPr="00A038C3">
        <w:rPr>
          <w:rFonts w:eastAsia="Times New Roman" w:cs="Arial"/>
          <w:kern w:val="24"/>
          <w:lang w:eastAsia="fr-FR"/>
        </w:rPr>
        <w:t>De réduire la circulation du virus et ainsi diminuer le nombre de cas et en particulier de cas graves chez les personnes à risque ;</w:t>
      </w:r>
    </w:p>
    <w:p w14:paraId="14E74471" w14:textId="77777777" w:rsidR="00A038C3" w:rsidRPr="00A038C3" w:rsidRDefault="00A038C3" w:rsidP="00A038C3">
      <w:pPr>
        <w:numPr>
          <w:ilvl w:val="0"/>
          <w:numId w:val="2"/>
        </w:numPr>
        <w:spacing w:line="240" w:lineRule="auto"/>
        <w:ind w:left="426"/>
        <w:rPr>
          <w:rFonts w:eastAsia="Times New Roman" w:cs="Arial"/>
          <w:lang w:eastAsia="fr-FR"/>
        </w:rPr>
      </w:pPr>
      <w:r w:rsidRPr="00A038C3">
        <w:rPr>
          <w:rFonts w:eastAsia="Times New Roman" w:cs="Arial"/>
          <w:kern w:val="24"/>
          <w:lang w:eastAsia="fr-FR"/>
        </w:rPr>
        <w:t>D’éviter l’émergence de nouveaux variants ;</w:t>
      </w:r>
    </w:p>
    <w:p w14:paraId="07394EF6" w14:textId="77777777" w:rsidR="00A038C3" w:rsidRPr="00A038C3" w:rsidRDefault="00A038C3" w:rsidP="00A038C3">
      <w:pPr>
        <w:numPr>
          <w:ilvl w:val="0"/>
          <w:numId w:val="2"/>
        </w:numPr>
        <w:spacing w:line="240" w:lineRule="auto"/>
        <w:ind w:left="426"/>
        <w:rPr>
          <w:rFonts w:eastAsia="Times New Roman" w:cs="Arial"/>
          <w:lang w:eastAsia="fr-FR"/>
        </w:rPr>
      </w:pPr>
      <w:r w:rsidRPr="00A038C3">
        <w:rPr>
          <w:rFonts w:eastAsia="Times New Roman" w:cs="Arial"/>
          <w:kern w:val="24"/>
          <w:lang w:eastAsia="fr-FR"/>
        </w:rPr>
        <w:t>D’envisager à plus long terme, une baisse des mesures de protection additionnelles (distanciation physique, masque, limitation du brassage, « tester-isoler-protéger », fermeture de classes et d’établissements voire au maximum mesures de confinement).</w:t>
      </w:r>
    </w:p>
    <w:p w14:paraId="3C96F7C7" w14:textId="4A91ABC1" w:rsidR="00A038C3" w:rsidRDefault="00A038C3" w:rsidP="00A038C3">
      <w:pPr>
        <w:spacing w:line="240" w:lineRule="auto"/>
        <w:ind w:left="426"/>
        <w:rPr>
          <w:rFonts w:eastAsia="Times New Roman" w:cs="Arial"/>
          <w:kern w:val="24"/>
          <w:lang w:eastAsia="fr-FR"/>
        </w:rPr>
      </w:pPr>
    </w:p>
    <w:p w14:paraId="5176E5ED" w14:textId="595F94A1" w:rsidR="002336FE" w:rsidRDefault="002336FE" w:rsidP="00A038C3">
      <w:pPr>
        <w:spacing w:line="240" w:lineRule="auto"/>
        <w:ind w:left="426"/>
        <w:rPr>
          <w:rFonts w:eastAsia="Times New Roman" w:cs="Arial"/>
          <w:kern w:val="24"/>
          <w:lang w:eastAsia="fr-FR"/>
        </w:rPr>
      </w:pPr>
    </w:p>
    <w:p w14:paraId="42D5D508" w14:textId="205A6701" w:rsidR="002336FE" w:rsidRDefault="002336FE" w:rsidP="00A038C3">
      <w:pPr>
        <w:spacing w:line="240" w:lineRule="auto"/>
        <w:ind w:left="426"/>
        <w:rPr>
          <w:rFonts w:eastAsia="Times New Roman" w:cs="Arial"/>
          <w:kern w:val="24"/>
          <w:lang w:eastAsia="fr-FR"/>
        </w:rPr>
      </w:pPr>
    </w:p>
    <w:p w14:paraId="472E55B3" w14:textId="579A80AE" w:rsidR="002336FE" w:rsidRDefault="002336FE" w:rsidP="00A038C3">
      <w:pPr>
        <w:spacing w:line="240" w:lineRule="auto"/>
        <w:ind w:left="426"/>
        <w:rPr>
          <w:rFonts w:eastAsia="Times New Roman" w:cs="Arial"/>
          <w:kern w:val="24"/>
          <w:lang w:eastAsia="fr-FR"/>
        </w:rPr>
      </w:pPr>
    </w:p>
    <w:p w14:paraId="5D476615" w14:textId="1724096D" w:rsidR="002336FE" w:rsidRDefault="002336FE" w:rsidP="00A038C3">
      <w:pPr>
        <w:spacing w:line="240" w:lineRule="auto"/>
        <w:ind w:left="426"/>
        <w:rPr>
          <w:rFonts w:eastAsia="Times New Roman" w:cs="Arial"/>
          <w:kern w:val="24"/>
          <w:lang w:eastAsia="fr-FR"/>
        </w:rPr>
      </w:pPr>
    </w:p>
    <w:p w14:paraId="5C8A4D3F" w14:textId="1135374A" w:rsidR="002336FE" w:rsidRDefault="002336FE" w:rsidP="00A038C3">
      <w:pPr>
        <w:spacing w:line="240" w:lineRule="auto"/>
        <w:ind w:left="426"/>
        <w:rPr>
          <w:rFonts w:eastAsia="Times New Roman" w:cs="Arial"/>
          <w:kern w:val="24"/>
          <w:lang w:eastAsia="fr-FR"/>
        </w:rPr>
      </w:pPr>
      <w:r w:rsidRPr="00A038C3">
        <w:rPr>
          <w:rFonts w:cs="Arial"/>
          <w:noProof/>
          <w:lang w:eastAsia="fr-FR"/>
        </w:rPr>
        <w:lastRenderedPageBreak/>
        <w:drawing>
          <wp:anchor distT="0" distB="0" distL="114300" distR="114300" simplePos="0" relativeHeight="251665408" behindDoc="0" locked="0" layoutInCell="1" allowOverlap="1" wp14:anchorId="0263B2A5" wp14:editId="3BEF9916">
            <wp:simplePos x="0" y="0"/>
            <wp:positionH relativeFrom="column">
              <wp:posOffset>6210300</wp:posOffset>
            </wp:positionH>
            <wp:positionV relativeFrom="page">
              <wp:posOffset>250825</wp:posOffset>
            </wp:positionV>
            <wp:extent cx="719455" cy="724535"/>
            <wp:effectExtent l="0" t="0" r="444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24535"/>
                    </a:xfrm>
                    <a:prstGeom prst="rect">
                      <a:avLst/>
                    </a:prstGeom>
                    <a:noFill/>
                  </pic:spPr>
                </pic:pic>
              </a:graphicData>
            </a:graphic>
            <wp14:sizeRelH relativeFrom="margin">
              <wp14:pctWidth>0</wp14:pctWidth>
            </wp14:sizeRelH>
            <wp14:sizeRelV relativeFrom="margin">
              <wp14:pctHeight>0</wp14:pctHeight>
            </wp14:sizeRelV>
          </wp:anchor>
        </w:drawing>
      </w:r>
    </w:p>
    <w:p w14:paraId="7C3653FE" w14:textId="721B9FA9" w:rsidR="002336FE" w:rsidRPr="00A038C3" w:rsidRDefault="002336FE" w:rsidP="00A038C3">
      <w:pPr>
        <w:spacing w:line="240" w:lineRule="auto"/>
        <w:ind w:left="426"/>
        <w:rPr>
          <w:rFonts w:eastAsia="Times New Roman" w:cs="Arial"/>
          <w:kern w:val="24"/>
          <w:lang w:eastAsia="fr-FR"/>
        </w:rPr>
      </w:pPr>
      <w:r w:rsidRPr="00A038C3">
        <w:rPr>
          <w:rFonts w:cs="Arial"/>
          <w:noProof/>
          <w:lang w:eastAsia="fr-FR"/>
        </w:rPr>
        <mc:AlternateContent>
          <mc:Choice Requires="wps">
            <w:drawing>
              <wp:anchor distT="0" distB="0" distL="114300" distR="114300" simplePos="0" relativeHeight="251663360" behindDoc="0" locked="0" layoutInCell="1" allowOverlap="1" wp14:anchorId="1C9ECBA1" wp14:editId="3AA804B6">
                <wp:simplePos x="0" y="0"/>
                <wp:positionH relativeFrom="margin">
                  <wp:posOffset>-161925</wp:posOffset>
                </wp:positionH>
                <wp:positionV relativeFrom="paragraph">
                  <wp:posOffset>100965</wp:posOffset>
                </wp:positionV>
                <wp:extent cx="6962775" cy="9029700"/>
                <wp:effectExtent l="19050" t="19050" r="28575" b="19050"/>
                <wp:wrapNone/>
                <wp:docPr id="147996232" name="Rectangle 147996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0297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FA1BAC" id="Rectangle 147996232" o:spid="_x0000_s1026" style="position:absolute;margin-left:-12.75pt;margin-top:7.95pt;width:548.25pt;height:711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" filled="f" strokecolor="#1f396c" strokeweight="2.25pt">
                <w10:wrap anchorx="margin"/>
              </v:rect>
            </w:pict>
          </mc:Fallback>
        </mc:AlternateContent>
      </w:r>
    </w:p>
    <w:p w14:paraId="7003CA64" w14:textId="77777777" w:rsidR="002336FE" w:rsidRDefault="002336FE" w:rsidP="00A038C3">
      <w:pPr>
        <w:spacing w:line="240" w:lineRule="auto"/>
        <w:rPr>
          <w:rFonts w:eastAsia="Times New Roman" w:cs="Arial"/>
          <w:kern w:val="24"/>
          <w:lang w:eastAsia="fr-FR"/>
        </w:rPr>
      </w:pPr>
    </w:p>
    <w:p w14:paraId="2B646DD3" w14:textId="03DA8B38" w:rsidR="00A038C3" w:rsidRPr="00A038C3" w:rsidRDefault="00A038C3" w:rsidP="00A038C3">
      <w:pPr>
        <w:spacing w:line="240" w:lineRule="auto"/>
        <w:rPr>
          <w:rFonts w:cs="Arial"/>
        </w:rPr>
      </w:pPr>
      <w:r w:rsidRPr="00A038C3">
        <w:rPr>
          <w:rFonts w:eastAsia="Times New Roman" w:cs="Arial"/>
          <w:kern w:val="24"/>
          <w:lang w:eastAsia="fr-FR"/>
        </w:rPr>
        <w:t xml:space="preserve">Ces bénéfices de la vaccination sont plus ou moins importants selon les variants. </w:t>
      </w:r>
      <w:r w:rsidRPr="00A038C3">
        <w:rPr>
          <w:rFonts w:cs="Arial"/>
        </w:rPr>
        <w:t>C’est ce qu’on appelle les aspects altruistes de la vaccination : se vacciner nous protège individuellement ET contribue également à protéger les autres dans notre entourage.</w:t>
      </w:r>
    </w:p>
    <w:p w14:paraId="46D5F073" w14:textId="1298F680" w:rsidR="00A038C3" w:rsidRPr="00A038C3" w:rsidRDefault="00A038C3" w:rsidP="00A038C3">
      <w:pPr>
        <w:pStyle w:val="NormalWeb"/>
        <w:spacing w:before="0" w:beforeAutospacing="0" w:after="0" w:afterAutospacing="0"/>
        <w:rPr>
          <w:rFonts w:ascii="Arial" w:eastAsia="Calibri" w:hAnsi="Arial" w:cs="Arial"/>
          <w:color w:val="auto"/>
          <w:lang w:eastAsia="en-US"/>
        </w:rPr>
      </w:pPr>
      <w:r w:rsidRPr="00A038C3">
        <w:rPr>
          <w:rFonts w:ascii="Arial" w:eastAsia="Calibri" w:hAnsi="Arial" w:cs="Arial"/>
          <w:color w:val="auto"/>
          <w:lang w:eastAsia="en-US"/>
        </w:rPr>
        <w:t>Vacciné ou pas il reste essentiel de continuer à appliquer toutes les mesures barrières, comme la distance physique, le port du masque, le lavage des mains et l’aération régulière des pièces.</w:t>
      </w:r>
      <w:r w:rsidR="002336FE" w:rsidRPr="002336FE">
        <w:rPr>
          <w:rFonts w:cs="Arial"/>
          <w:noProof/>
        </w:rPr>
        <w:t xml:space="preserve"> </w:t>
      </w:r>
    </w:p>
    <w:p w14:paraId="1876397B" w14:textId="597DDBB1" w:rsidR="00A038C3" w:rsidRPr="00A038C3" w:rsidRDefault="00A038C3" w:rsidP="00A038C3">
      <w:pPr>
        <w:spacing w:line="240" w:lineRule="auto"/>
        <w:rPr>
          <w:rFonts w:cs="Arial"/>
        </w:rPr>
      </w:pPr>
      <w:r w:rsidRPr="00A038C3">
        <w:rPr>
          <w:rFonts w:cs="Arial"/>
        </w:rPr>
        <w:t>COVAX est une alliance mondiale, soutenu par l’OMS, qui vise à accélérer la mise au point et la fabrication des vaccins contre le COVID-19 et à favoriser l’accès juste et équitable à tous les pays permettant ainsi d’atteindre une couverture vaccinale suffisante à l’échelle planétaire.</w:t>
      </w:r>
    </w:p>
    <w:p w14:paraId="0A87E506" w14:textId="77777777" w:rsidR="00A038C3" w:rsidRPr="00A038C3" w:rsidRDefault="00A038C3" w:rsidP="002336FE">
      <w:pPr>
        <w:pStyle w:val="Titre3"/>
      </w:pPr>
      <w:bookmarkStart w:id="7" w:name="_Toc111135467"/>
    </w:p>
    <w:p w14:paraId="1A69D9A5" w14:textId="77777777" w:rsidR="00A038C3" w:rsidRPr="00A038C3" w:rsidRDefault="00A038C3" w:rsidP="002336FE">
      <w:pPr>
        <w:pStyle w:val="Titre3"/>
      </w:pPr>
    </w:p>
    <w:p w14:paraId="69CF46D6" w14:textId="77777777" w:rsidR="00A038C3" w:rsidRPr="00A038C3" w:rsidRDefault="00A038C3" w:rsidP="002336FE">
      <w:pPr>
        <w:pStyle w:val="Titre3"/>
      </w:pPr>
      <w:r w:rsidRPr="00A038C3">
        <w:t>Liens utiles</w:t>
      </w:r>
      <w:bookmarkEnd w:id="7"/>
    </w:p>
    <w:p w14:paraId="4FDD6CE9" w14:textId="77777777" w:rsidR="00A038C3" w:rsidRPr="00A038C3" w:rsidRDefault="00A038C3" w:rsidP="00A038C3">
      <w:pPr>
        <w:spacing w:line="240" w:lineRule="auto"/>
        <w:rPr>
          <w:rFonts w:cs="Arial"/>
          <w:lang w:eastAsia="fr-FR"/>
        </w:rPr>
      </w:pPr>
    </w:p>
    <w:p w14:paraId="7CA8196E" w14:textId="77777777" w:rsidR="00A038C3" w:rsidRPr="00A038C3" w:rsidRDefault="00017740" w:rsidP="00A038C3">
      <w:pPr>
        <w:pStyle w:val="Paragraphedeliste"/>
        <w:numPr>
          <w:ilvl w:val="0"/>
          <w:numId w:val="4"/>
        </w:numPr>
        <w:spacing w:line="240" w:lineRule="auto"/>
        <w:jc w:val="both"/>
        <w:rPr>
          <w:rFonts w:cs="Arial"/>
        </w:rPr>
      </w:pPr>
      <w:hyperlink r:id="rId8" w:history="1">
        <w:r w:rsidR="00A038C3" w:rsidRPr="00A038C3">
          <w:rPr>
            <w:rStyle w:val="Lienhypertexte"/>
            <w:rFonts w:cs="Arial"/>
            <w:color w:val="auto"/>
          </w:rPr>
          <w:t>COVID-19 - Portail Santé - Luxembourg</w:t>
        </w:r>
      </w:hyperlink>
    </w:p>
    <w:p w14:paraId="57E49BA7" w14:textId="77777777" w:rsidR="00A038C3" w:rsidRPr="00A038C3" w:rsidRDefault="00017740" w:rsidP="00A038C3">
      <w:pPr>
        <w:pStyle w:val="Paragraphedeliste"/>
        <w:numPr>
          <w:ilvl w:val="0"/>
          <w:numId w:val="4"/>
        </w:numPr>
        <w:spacing w:line="240" w:lineRule="auto"/>
        <w:jc w:val="both"/>
        <w:rPr>
          <w:rFonts w:cs="Arial"/>
        </w:rPr>
      </w:pPr>
      <w:hyperlink r:id="rId9" w:history="1">
        <w:r w:rsidR="00A038C3" w:rsidRPr="00A038C3">
          <w:rPr>
            <w:rStyle w:val="Lienhypertexte"/>
            <w:rFonts w:cs="Arial"/>
            <w:color w:val="auto"/>
          </w:rPr>
          <w:t>Calendrier des vaccinations et des immunisations passives - Portail Santé - Luxembourg</w:t>
        </w:r>
      </w:hyperlink>
    </w:p>
    <w:p w14:paraId="783437E5" w14:textId="77777777" w:rsidR="00A038C3" w:rsidRPr="00A038C3" w:rsidRDefault="00017740" w:rsidP="00A038C3">
      <w:pPr>
        <w:pStyle w:val="Paragraphedeliste"/>
        <w:numPr>
          <w:ilvl w:val="0"/>
          <w:numId w:val="4"/>
        </w:numPr>
        <w:spacing w:line="240" w:lineRule="auto"/>
        <w:jc w:val="both"/>
        <w:rPr>
          <w:rStyle w:val="Lienhypertexte"/>
          <w:rFonts w:cs="Arial"/>
          <w:color w:val="auto"/>
        </w:rPr>
      </w:pPr>
      <w:hyperlink r:id="rId10" w:history="1">
        <w:r w:rsidR="00A038C3" w:rsidRPr="00A038C3">
          <w:rPr>
            <w:rFonts w:cs="Arial"/>
            <w:u w:val="single"/>
          </w:rPr>
          <w:t>COVID-19 - Portail Santé - Luxembourg</w:t>
        </w:r>
      </w:hyperlink>
    </w:p>
    <w:p w14:paraId="0651516B" w14:textId="77777777" w:rsidR="00A038C3" w:rsidRPr="00A038C3" w:rsidRDefault="00017740" w:rsidP="00A038C3">
      <w:pPr>
        <w:pStyle w:val="Paragraphedeliste"/>
        <w:numPr>
          <w:ilvl w:val="0"/>
          <w:numId w:val="4"/>
        </w:numPr>
        <w:spacing w:line="240" w:lineRule="auto"/>
        <w:rPr>
          <w:rStyle w:val="Lienhypertexte"/>
          <w:rFonts w:cs="Arial"/>
          <w:color w:val="auto"/>
        </w:rPr>
      </w:pPr>
      <w:hyperlink r:id="rId11" w:history="1">
        <w:r w:rsidR="00A038C3" w:rsidRPr="00A038C3">
          <w:rPr>
            <w:rStyle w:val="Lienhypertexte"/>
            <w:rFonts w:cs="Arial"/>
            <w:color w:val="auto"/>
          </w:rPr>
          <w:t>OMS : les vaccins contre le COVID-19</w:t>
        </w:r>
      </w:hyperlink>
    </w:p>
    <w:p w14:paraId="78AD27D8" w14:textId="77777777" w:rsidR="00A038C3" w:rsidRPr="00A038C3" w:rsidRDefault="00A038C3" w:rsidP="00A038C3">
      <w:pPr>
        <w:pStyle w:val="NormalWeb"/>
        <w:spacing w:before="0" w:beforeAutospacing="0" w:after="0" w:afterAutospacing="0"/>
        <w:rPr>
          <w:rFonts w:ascii="Arial" w:hAnsi="Arial" w:cs="Arial"/>
          <w:color w:val="auto"/>
        </w:rPr>
        <w:sectPr w:rsidR="00A038C3" w:rsidRPr="00A038C3" w:rsidSect="00A038C3">
          <w:pgSz w:w="11906" w:h="16838" w:code="9"/>
          <w:pgMar w:top="720" w:right="720" w:bottom="720" w:left="720" w:header="720" w:footer="283" w:gutter="0"/>
          <w:cols w:space="720"/>
          <w:docGrid w:linePitch="326"/>
        </w:sectPr>
      </w:pPr>
    </w:p>
    <w:p w14:paraId="25DE8F98" w14:textId="77777777" w:rsidR="00A038C3" w:rsidRPr="00A038C3" w:rsidRDefault="00A038C3" w:rsidP="00A038C3">
      <w:pPr>
        <w:spacing w:line="240" w:lineRule="auto"/>
        <w:rPr>
          <w:rFonts w:cs="Arial"/>
        </w:rPr>
      </w:pPr>
      <w:r w:rsidRPr="00A038C3">
        <w:rPr>
          <w:rFonts w:cs="Arial"/>
          <w:noProof/>
          <w:lang w:eastAsia="fr-FR"/>
        </w:rPr>
        <w:lastRenderedPageBreak/>
        <w:drawing>
          <wp:inline distT="0" distB="0" distL="0" distR="0" wp14:anchorId="1831A240" wp14:editId="432A3237">
            <wp:extent cx="9653270" cy="6645910"/>
            <wp:effectExtent l="0" t="0" r="5080" b="2540"/>
            <wp:docPr id="130" name="Image 130" descr="Flash cards COVID-19&#10;Réponses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53270" cy="6645910"/>
                    </a:xfrm>
                    <a:prstGeom prst="rect">
                      <a:avLst/>
                    </a:prstGeom>
                  </pic:spPr>
                </pic:pic>
              </a:graphicData>
            </a:graphic>
          </wp:inline>
        </w:drawing>
      </w:r>
      <w:r w:rsidRPr="00A038C3">
        <w:rPr>
          <w:rFonts w:cs="Arial"/>
        </w:rPr>
        <w:br w:type="page"/>
      </w:r>
    </w:p>
    <w:p w14:paraId="66377316" w14:textId="77777777" w:rsidR="00A038C3" w:rsidRPr="00A038C3" w:rsidRDefault="00A038C3" w:rsidP="00A038C3">
      <w:pPr>
        <w:spacing w:line="240" w:lineRule="auto"/>
        <w:rPr>
          <w:rFonts w:cs="Arial"/>
        </w:rPr>
      </w:pPr>
      <w:r w:rsidRPr="00A038C3">
        <w:rPr>
          <w:rFonts w:cs="Arial"/>
          <w:noProof/>
          <w:lang w:eastAsia="fr-FR"/>
        </w:rPr>
        <w:lastRenderedPageBreak/>
        <w:drawing>
          <wp:inline distT="0" distB="0" distL="0" distR="0" wp14:anchorId="44D52DF7" wp14:editId="4151293C">
            <wp:extent cx="9622155" cy="6645910"/>
            <wp:effectExtent l="0" t="0" r="0" b="2540"/>
            <wp:docPr id="131" name="Image 131" descr="Flash cards COVID-19&#10;Question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22155" cy="6645910"/>
                    </a:xfrm>
                    <a:prstGeom prst="rect">
                      <a:avLst/>
                    </a:prstGeom>
                  </pic:spPr>
                </pic:pic>
              </a:graphicData>
            </a:graphic>
          </wp:inline>
        </w:drawing>
      </w:r>
      <w:r w:rsidRPr="00A038C3">
        <w:rPr>
          <w:rFonts w:cs="Arial"/>
        </w:rPr>
        <w:br w:type="page"/>
      </w:r>
    </w:p>
    <w:p w14:paraId="78470E05" w14:textId="77777777" w:rsidR="00A038C3" w:rsidRPr="00A038C3" w:rsidRDefault="00A038C3" w:rsidP="00A038C3">
      <w:pPr>
        <w:spacing w:line="240" w:lineRule="auto"/>
        <w:rPr>
          <w:rFonts w:cs="Arial"/>
        </w:rPr>
      </w:pPr>
      <w:r w:rsidRPr="00A038C3">
        <w:rPr>
          <w:rFonts w:cs="Arial"/>
          <w:noProof/>
          <w:lang w:eastAsia="fr-FR"/>
        </w:rPr>
        <w:lastRenderedPageBreak/>
        <w:drawing>
          <wp:inline distT="0" distB="0" distL="0" distR="0" wp14:anchorId="61A7A7BB" wp14:editId="77DA8EF7">
            <wp:extent cx="9653270" cy="6645910"/>
            <wp:effectExtent l="0" t="0" r="5080" b="2540"/>
            <wp:docPr id="132" name="Image 132" descr="Flash cards vaccin COVID-19&#10;Réponses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53270" cy="6645910"/>
                    </a:xfrm>
                    <a:prstGeom prst="rect">
                      <a:avLst/>
                    </a:prstGeom>
                  </pic:spPr>
                </pic:pic>
              </a:graphicData>
            </a:graphic>
          </wp:inline>
        </w:drawing>
      </w:r>
      <w:r w:rsidRPr="00A038C3">
        <w:rPr>
          <w:rFonts w:cs="Arial"/>
        </w:rPr>
        <w:br w:type="page"/>
      </w:r>
    </w:p>
    <w:p w14:paraId="58F1DFC2" w14:textId="77777777" w:rsidR="00A038C3" w:rsidRPr="00A038C3" w:rsidRDefault="00A038C3" w:rsidP="00A038C3">
      <w:pPr>
        <w:spacing w:line="240" w:lineRule="auto"/>
        <w:rPr>
          <w:rFonts w:cs="Arial"/>
        </w:rPr>
        <w:sectPr w:rsidR="00A038C3" w:rsidRPr="00A038C3" w:rsidSect="00A038C3">
          <w:footerReference w:type="default" r:id="rId14"/>
          <w:pgSz w:w="16838" w:h="11906" w:orient="landscape" w:code="9"/>
          <w:pgMar w:top="720" w:right="720" w:bottom="720" w:left="720" w:header="720" w:footer="283" w:gutter="0"/>
          <w:cols w:space="720"/>
          <w:docGrid w:linePitch="326"/>
        </w:sectPr>
      </w:pPr>
      <w:bookmarkStart w:id="8" w:name="_GoBack"/>
      <w:r w:rsidRPr="00A038C3">
        <w:rPr>
          <w:rFonts w:cs="Arial"/>
          <w:noProof/>
          <w:lang w:eastAsia="fr-FR"/>
        </w:rPr>
        <w:lastRenderedPageBreak/>
        <w:drawing>
          <wp:inline distT="0" distB="0" distL="0" distR="0" wp14:anchorId="16AB985D" wp14:editId="5000DA5C">
            <wp:extent cx="9622155" cy="6645910"/>
            <wp:effectExtent l="0" t="0" r="0" b="2540"/>
            <wp:docPr id="133" name="Image 133" descr="Flash cards vaccin COVID-19&#10;Question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22155" cy="6645910"/>
                    </a:xfrm>
                    <a:prstGeom prst="rect">
                      <a:avLst/>
                    </a:prstGeom>
                  </pic:spPr>
                </pic:pic>
              </a:graphicData>
            </a:graphic>
          </wp:inline>
        </w:drawing>
      </w:r>
      <w:bookmarkEnd w:id="8"/>
    </w:p>
    <w:p w14:paraId="19D313A4" w14:textId="77777777" w:rsidR="006D6003" w:rsidRPr="00A038C3" w:rsidRDefault="006D6003" w:rsidP="00A038C3">
      <w:pPr>
        <w:spacing w:line="240" w:lineRule="auto"/>
        <w:rPr>
          <w:rFonts w:cs="Arial"/>
        </w:rPr>
      </w:pPr>
    </w:p>
    <w:sectPr w:rsidR="006D6003" w:rsidRPr="00A038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C8990" w14:textId="77777777" w:rsidR="00017740" w:rsidRDefault="00017740" w:rsidP="00A038C3">
      <w:pPr>
        <w:spacing w:line="240" w:lineRule="auto"/>
      </w:pPr>
      <w:r>
        <w:separator/>
      </w:r>
    </w:p>
  </w:endnote>
  <w:endnote w:type="continuationSeparator" w:id="0">
    <w:p w14:paraId="597229C9" w14:textId="77777777" w:rsidR="00017740" w:rsidRDefault="00017740" w:rsidP="00A03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EC90" w14:textId="5125505B" w:rsidR="00A038C3" w:rsidRPr="00A038C3" w:rsidRDefault="00A038C3" w:rsidP="00A038C3">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E745B" w14:textId="77777777" w:rsidR="00017740" w:rsidRDefault="00017740" w:rsidP="00A038C3">
      <w:pPr>
        <w:spacing w:line="240" w:lineRule="auto"/>
      </w:pPr>
      <w:r>
        <w:separator/>
      </w:r>
    </w:p>
  </w:footnote>
  <w:footnote w:type="continuationSeparator" w:id="0">
    <w:p w14:paraId="05D141CD" w14:textId="77777777" w:rsidR="00017740" w:rsidRDefault="00017740" w:rsidP="00A038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052"/>
    <w:multiLevelType w:val="multilevel"/>
    <w:tmpl w:val="CB3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5260F"/>
    <w:multiLevelType w:val="multilevel"/>
    <w:tmpl w:val="F7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47611"/>
    <w:multiLevelType w:val="hybridMultilevel"/>
    <w:tmpl w:val="92C4E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EE5730"/>
    <w:multiLevelType w:val="hybridMultilevel"/>
    <w:tmpl w:val="5E8C86E2"/>
    <w:lvl w:ilvl="0" w:tplc="5614A49C">
      <w:numFmt w:val="bullet"/>
      <w:lvlText w:val="-"/>
      <w:lvlJc w:val="left"/>
      <w:pPr>
        <w:ind w:left="360" w:hanging="360"/>
      </w:pPr>
      <w:rPr>
        <w:rFonts w:ascii="Calibri" w:eastAsia="Calibri" w:hAnsi="Calibri" w:cs="Calibri" w:hint="default"/>
        <w:color w:val="auto"/>
        <w:sz w:val="22"/>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D7A5F66"/>
    <w:multiLevelType w:val="hybridMultilevel"/>
    <w:tmpl w:val="E99C92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1080" w:hanging="360"/>
      </w:pPr>
      <w:rPr>
        <w:rFonts w:ascii="Courier New" w:hAnsi="Courier New" w:cs="Courier New" w:hint="default"/>
      </w:rPr>
    </w:lvl>
    <w:lvl w:ilvl="5" w:tplc="040C0005" w:tentative="1">
      <w:start w:val="1"/>
      <w:numFmt w:val="bullet"/>
      <w:lvlText w:val=""/>
      <w:lvlJc w:val="left"/>
      <w:pPr>
        <w:ind w:left="1800" w:hanging="360"/>
      </w:pPr>
      <w:rPr>
        <w:rFonts w:ascii="Wingdings" w:hAnsi="Wingdings" w:hint="default"/>
      </w:rPr>
    </w:lvl>
    <w:lvl w:ilvl="6" w:tplc="040C0001" w:tentative="1">
      <w:start w:val="1"/>
      <w:numFmt w:val="bullet"/>
      <w:lvlText w:val=""/>
      <w:lvlJc w:val="left"/>
      <w:pPr>
        <w:ind w:left="2520" w:hanging="360"/>
      </w:pPr>
      <w:rPr>
        <w:rFonts w:ascii="Symbol" w:hAnsi="Symbol" w:hint="default"/>
      </w:rPr>
    </w:lvl>
    <w:lvl w:ilvl="7" w:tplc="040C0003" w:tentative="1">
      <w:start w:val="1"/>
      <w:numFmt w:val="bullet"/>
      <w:lvlText w:val="o"/>
      <w:lvlJc w:val="left"/>
      <w:pPr>
        <w:ind w:left="3240" w:hanging="360"/>
      </w:pPr>
      <w:rPr>
        <w:rFonts w:ascii="Courier New" w:hAnsi="Courier New" w:cs="Courier New" w:hint="default"/>
      </w:rPr>
    </w:lvl>
    <w:lvl w:ilvl="8" w:tplc="040C0005" w:tentative="1">
      <w:start w:val="1"/>
      <w:numFmt w:val="bullet"/>
      <w:lvlText w:val=""/>
      <w:lvlJc w:val="left"/>
      <w:pPr>
        <w:ind w:left="396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C3"/>
    <w:rsid w:val="00017740"/>
    <w:rsid w:val="002336FE"/>
    <w:rsid w:val="00564922"/>
    <w:rsid w:val="006D6003"/>
    <w:rsid w:val="00A038C3"/>
    <w:rsid w:val="00B54DBC"/>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FCC1"/>
  <w15:chartTrackingRefBased/>
  <w15:docId w15:val="{F275F76B-C9DC-40F0-B47D-5094CE52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8C3"/>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A0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0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336FE"/>
    <w:pPr>
      <w:keepNext/>
      <w:keepLines/>
      <w:spacing w:line="240" w:lineRule="auto"/>
      <w:outlineLvl w:val="2"/>
    </w:pPr>
    <w:rPr>
      <w:rFonts w:eastAsiaTheme="majorEastAsia" w:cs="Arial"/>
      <w:b/>
      <w:bCs/>
      <w:szCs w:val="28"/>
    </w:rPr>
  </w:style>
  <w:style w:type="paragraph" w:styleId="Titre4">
    <w:name w:val="heading 4"/>
    <w:basedOn w:val="Normal"/>
    <w:next w:val="Normal"/>
    <w:link w:val="Titre4Car"/>
    <w:uiPriority w:val="9"/>
    <w:semiHidden/>
    <w:unhideWhenUsed/>
    <w:qFormat/>
    <w:rsid w:val="00A038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38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38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38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38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38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38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038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336FE"/>
    <w:rPr>
      <w:rFonts w:ascii="Arial" w:eastAsiaTheme="majorEastAsia" w:hAnsi="Arial" w:cs="Arial"/>
      <w:b/>
      <w:bCs/>
      <w:kern w:val="0"/>
      <w:szCs w:val="28"/>
      <w:lang w:val="fr-FR"/>
      <w14:ligatures w14:val="none"/>
    </w:rPr>
  </w:style>
  <w:style w:type="character" w:customStyle="1" w:styleId="Titre4Car">
    <w:name w:val="Titre 4 Car"/>
    <w:basedOn w:val="Policepardfaut"/>
    <w:link w:val="Titre4"/>
    <w:uiPriority w:val="9"/>
    <w:semiHidden/>
    <w:rsid w:val="00A038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38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38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38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38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38C3"/>
    <w:rPr>
      <w:rFonts w:eastAsiaTheme="majorEastAsia" w:cstheme="majorBidi"/>
      <w:color w:val="272727" w:themeColor="text1" w:themeTint="D8"/>
    </w:rPr>
  </w:style>
  <w:style w:type="paragraph" w:styleId="Titre">
    <w:name w:val="Title"/>
    <w:basedOn w:val="Normal"/>
    <w:next w:val="Normal"/>
    <w:link w:val="TitreCar"/>
    <w:uiPriority w:val="10"/>
    <w:qFormat/>
    <w:rsid w:val="00A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38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38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38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38C3"/>
    <w:pPr>
      <w:spacing w:before="160"/>
      <w:jc w:val="center"/>
    </w:pPr>
    <w:rPr>
      <w:i/>
      <w:iCs/>
      <w:color w:val="404040" w:themeColor="text1" w:themeTint="BF"/>
    </w:rPr>
  </w:style>
  <w:style w:type="character" w:customStyle="1" w:styleId="CitationCar">
    <w:name w:val="Citation Car"/>
    <w:basedOn w:val="Policepardfaut"/>
    <w:link w:val="Citation"/>
    <w:uiPriority w:val="29"/>
    <w:rsid w:val="00A038C3"/>
    <w:rPr>
      <w:i/>
      <w:iCs/>
      <w:color w:val="404040" w:themeColor="text1" w:themeTint="BF"/>
    </w:rPr>
  </w:style>
  <w:style w:type="paragraph" w:styleId="Paragraphedeliste">
    <w:name w:val="List Paragraph"/>
    <w:basedOn w:val="Normal"/>
    <w:uiPriority w:val="34"/>
    <w:qFormat/>
    <w:rsid w:val="00A038C3"/>
    <w:pPr>
      <w:ind w:left="720"/>
      <w:contextualSpacing/>
    </w:pPr>
  </w:style>
  <w:style w:type="character" w:styleId="Accentuationintense">
    <w:name w:val="Intense Emphasis"/>
    <w:basedOn w:val="Policepardfaut"/>
    <w:uiPriority w:val="21"/>
    <w:qFormat/>
    <w:rsid w:val="00A038C3"/>
    <w:rPr>
      <w:i/>
      <w:iCs/>
      <w:color w:val="0F4761" w:themeColor="accent1" w:themeShade="BF"/>
    </w:rPr>
  </w:style>
  <w:style w:type="paragraph" w:styleId="Citationintense">
    <w:name w:val="Intense Quote"/>
    <w:basedOn w:val="Normal"/>
    <w:next w:val="Normal"/>
    <w:link w:val="CitationintenseCar"/>
    <w:uiPriority w:val="30"/>
    <w:qFormat/>
    <w:rsid w:val="00A0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38C3"/>
    <w:rPr>
      <w:i/>
      <w:iCs/>
      <w:color w:val="0F4761" w:themeColor="accent1" w:themeShade="BF"/>
    </w:rPr>
  </w:style>
  <w:style w:type="character" w:styleId="Rfrenceintense">
    <w:name w:val="Intense Reference"/>
    <w:basedOn w:val="Policepardfaut"/>
    <w:uiPriority w:val="32"/>
    <w:qFormat/>
    <w:rsid w:val="00A038C3"/>
    <w:rPr>
      <w:b/>
      <w:bCs/>
      <w:smallCaps/>
      <w:color w:val="0F4761" w:themeColor="accent1" w:themeShade="BF"/>
      <w:spacing w:val="5"/>
    </w:rPr>
  </w:style>
  <w:style w:type="character" w:styleId="Lienhypertexte">
    <w:name w:val="Hyperlink"/>
    <w:basedOn w:val="Policepardfaut"/>
    <w:uiPriority w:val="99"/>
    <w:unhideWhenUsed/>
    <w:rsid w:val="00A038C3"/>
    <w:rPr>
      <w:color w:val="467886" w:themeColor="hyperlink"/>
      <w:u w:val="single"/>
    </w:rPr>
  </w:style>
  <w:style w:type="paragraph" w:styleId="NormalWeb">
    <w:name w:val="Normal (Web)"/>
    <w:basedOn w:val="Normal"/>
    <w:uiPriority w:val="99"/>
    <w:unhideWhenUsed/>
    <w:rsid w:val="00A038C3"/>
    <w:pPr>
      <w:spacing w:before="100" w:beforeAutospacing="1" w:after="100" w:afterAutospacing="1" w:line="240" w:lineRule="auto"/>
      <w:jc w:val="both"/>
    </w:pPr>
    <w:rPr>
      <w:rFonts w:ascii="Times New Roman" w:eastAsia="Times New Roman" w:hAnsi="Times New Roman" w:cs="Times New Roman"/>
      <w:color w:val="000000"/>
      <w:lang w:eastAsia="fr-FR"/>
    </w:rPr>
  </w:style>
  <w:style w:type="paragraph" w:styleId="Pieddepage">
    <w:name w:val="footer"/>
    <w:basedOn w:val="Normal"/>
    <w:link w:val="PieddepageCar"/>
    <w:uiPriority w:val="99"/>
    <w:unhideWhenUsed/>
    <w:rsid w:val="00A038C3"/>
    <w:pPr>
      <w:tabs>
        <w:tab w:val="center" w:pos="4536"/>
        <w:tab w:val="right" w:pos="9072"/>
      </w:tabs>
      <w:spacing w:line="240" w:lineRule="auto"/>
    </w:pPr>
  </w:style>
  <w:style w:type="character" w:customStyle="1" w:styleId="PieddepageCar">
    <w:name w:val="Pied de page Car"/>
    <w:basedOn w:val="Policepardfaut"/>
    <w:link w:val="Pieddepage"/>
    <w:uiPriority w:val="99"/>
    <w:rsid w:val="00A038C3"/>
    <w:rPr>
      <w:rFonts w:ascii="Arial" w:hAnsi="Arial"/>
      <w:kern w:val="0"/>
      <w:lang w:val="fr-FR"/>
      <w14:ligatures w14:val="none"/>
    </w:rPr>
  </w:style>
  <w:style w:type="paragraph" w:styleId="En-tte">
    <w:name w:val="header"/>
    <w:basedOn w:val="Normal"/>
    <w:link w:val="En-tteCar"/>
    <w:uiPriority w:val="99"/>
    <w:unhideWhenUsed/>
    <w:rsid w:val="00A038C3"/>
    <w:pPr>
      <w:tabs>
        <w:tab w:val="center" w:pos="4513"/>
        <w:tab w:val="right" w:pos="9026"/>
      </w:tabs>
      <w:spacing w:line="240" w:lineRule="auto"/>
    </w:pPr>
  </w:style>
  <w:style w:type="character" w:customStyle="1" w:styleId="En-tteCar">
    <w:name w:val="En-tête Car"/>
    <w:basedOn w:val="Policepardfaut"/>
    <w:link w:val="En-tte"/>
    <w:uiPriority w:val="99"/>
    <w:rsid w:val="00A038C3"/>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c/coronavirus.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fr/emergencies/diseases/novel-coronavirus-2019/covid-19-vacc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ntesecu.public.lu/fr/espace-citoyen/dossiers-thematiques/v/vaccination/maladies-vaccinables/covid-19.html" TargetMode="External"/><Relationship Id="rId4" Type="http://schemas.openxmlformats.org/officeDocument/2006/relationships/webSettings" Target="webSettings.xml"/><Relationship Id="rId9" Type="http://schemas.openxmlformats.org/officeDocument/2006/relationships/hyperlink" Target="https://santesecu.public.lu/fr/espace-citoyen/dossiers-thematiques/v/vaccination/calendrier-vaccina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1056</Words>
  <Characters>5813</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2025-07-16T08:38:00Z</dcterms:created>
  <dcterms:modified xsi:type="dcterms:W3CDTF">2025-12-23T09:44:00Z</dcterms:modified>
</cp:coreProperties>
</file>