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4533" w14:textId="37205AA6" w:rsidR="00F93D36" w:rsidRPr="00F93D36" w:rsidRDefault="00F93D36" w:rsidP="00F93D36">
      <w:pPr>
        <w:pStyle w:val="Titre1"/>
        <w:spacing w:before="0" w:after="0" w:line="240" w:lineRule="auto"/>
        <w:jc w:val="center"/>
        <w:rPr>
          <w:rFonts w:ascii="Arial" w:hAnsi="Arial" w:cs="Arial"/>
          <w:b/>
          <w:bCs/>
          <w:color w:val="auto"/>
          <w:sz w:val="44"/>
          <w:szCs w:val="44"/>
        </w:rPr>
      </w:pPr>
      <w:r w:rsidRPr="00F93D36">
        <w:rPr>
          <w:rFonts w:ascii="Arial" w:hAnsi="Arial" w:cs="Arial"/>
          <w:b/>
          <w:bCs/>
          <w:color w:val="auto"/>
          <w:sz w:val="44"/>
          <w:szCs w:val="44"/>
        </w:rPr>
        <w:t>Activité comprendre l’immunité collective</w:t>
      </w:r>
    </w:p>
    <w:p w14:paraId="45448567" w14:textId="6F425729" w:rsidR="00F93D36" w:rsidRPr="00F93D36" w:rsidRDefault="004F34E1" w:rsidP="00F93D36">
      <w:pPr>
        <w:pStyle w:val="Titre1"/>
        <w:spacing w:before="0" w:after="0" w:line="240" w:lineRule="auto"/>
        <w:jc w:val="center"/>
        <w:rPr>
          <w:rFonts w:ascii="Arial" w:hAnsi="Arial" w:cs="Arial"/>
          <w:b/>
          <w:bCs/>
          <w:color w:val="auto"/>
          <w:sz w:val="36"/>
          <w:szCs w:val="36"/>
        </w:rPr>
      </w:pPr>
      <w:r w:rsidRPr="00F93D36">
        <w:rPr>
          <w:rFonts w:ascii="Arial" w:hAnsi="Arial" w:cs="Arial"/>
          <w:b/>
          <w:bCs/>
          <w:noProof/>
          <w:color w:val="auto"/>
          <w:sz w:val="36"/>
          <w:szCs w:val="36"/>
        </w:rPr>
        <mc:AlternateContent>
          <mc:Choice Requires="wps">
            <w:drawing>
              <wp:anchor distT="0" distB="0" distL="114300" distR="114300" simplePos="0" relativeHeight="251659264" behindDoc="0" locked="0" layoutInCell="1" allowOverlap="1" wp14:anchorId="301B4B1F" wp14:editId="0A664D95">
                <wp:simplePos x="0" y="0"/>
                <wp:positionH relativeFrom="margin">
                  <wp:posOffset>-619125</wp:posOffset>
                </wp:positionH>
                <wp:positionV relativeFrom="paragraph">
                  <wp:posOffset>259715</wp:posOffset>
                </wp:positionV>
                <wp:extent cx="6962775" cy="8801100"/>
                <wp:effectExtent l="19050" t="19050" r="28575" b="19050"/>
                <wp:wrapNone/>
                <wp:docPr id="78"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8011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778B5" id="Rectangle 78" o:spid="_x0000_s1026" style="position:absolute;margin-left:-48.75pt;margin-top:20.45pt;width:548.25pt;height:69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" filled="f" strokecolor="#1f396c" strokeweight="2.25pt">
                <w10:wrap anchorx="margin"/>
              </v:rect>
            </w:pict>
          </mc:Fallback>
        </mc:AlternateContent>
      </w:r>
      <w:r w:rsidR="00F93D36" w:rsidRPr="00F93D36">
        <w:rPr>
          <w:rFonts w:ascii="Arial" w:hAnsi="Arial" w:cs="Arial"/>
          <w:b/>
          <w:bCs/>
          <w:noProof/>
          <w:color w:val="auto"/>
          <w:sz w:val="36"/>
          <w:szCs w:val="36"/>
        </w:rPr>
        <w:drawing>
          <wp:anchor distT="0" distB="0" distL="114300" distR="114300" simplePos="0" relativeHeight="251660288" behindDoc="0" locked="0" layoutInCell="1" allowOverlap="1" wp14:anchorId="67A0194F" wp14:editId="6053700D">
            <wp:simplePos x="0" y="0"/>
            <wp:positionH relativeFrom="column">
              <wp:posOffset>6229350</wp:posOffset>
            </wp:positionH>
            <wp:positionV relativeFrom="paragraph">
              <wp:posOffset>73660</wp:posOffset>
            </wp:positionV>
            <wp:extent cx="720000" cy="727199"/>
            <wp:effectExtent l="0" t="0" r="4445" b="0"/>
            <wp:wrapSquare wrapText="bothSides"/>
            <wp:docPr id="79" name="Imag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7199"/>
                    </a:xfrm>
                    <a:prstGeom prst="rect">
                      <a:avLst/>
                    </a:prstGeom>
                  </pic:spPr>
                </pic:pic>
              </a:graphicData>
            </a:graphic>
            <wp14:sizeRelH relativeFrom="margin">
              <wp14:pctWidth>0</wp14:pctWidth>
            </wp14:sizeRelH>
            <wp14:sizeRelV relativeFrom="margin">
              <wp14:pctHeight>0</wp14:pctHeight>
            </wp14:sizeRelV>
          </wp:anchor>
        </w:drawing>
      </w:r>
      <w:r w:rsidR="00F93D36" w:rsidRPr="00F93D36">
        <w:rPr>
          <w:rFonts w:ascii="Arial" w:hAnsi="Arial" w:cs="Arial"/>
          <w:b/>
          <w:bCs/>
          <w:color w:val="auto"/>
          <w:sz w:val="36"/>
          <w:szCs w:val="36"/>
        </w:rPr>
        <w:t>Fiche élève</w:t>
      </w:r>
    </w:p>
    <w:p w14:paraId="0669F5B1" w14:textId="77777777" w:rsidR="004F34E1" w:rsidRDefault="004F34E1" w:rsidP="00F93D36">
      <w:pPr>
        <w:pStyle w:val="NormalWeb"/>
        <w:spacing w:before="0" w:beforeAutospacing="0" w:after="0" w:afterAutospacing="0"/>
        <w:rPr>
          <w:rFonts w:ascii="Arial" w:hAnsi="Arial" w:cs="Arial"/>
          <w:color w:val="auto"/>
          <w:kern w:val="24"/>
        </w:rPr>
      </w:pPr>
    </w:p>
    <w:p w14:paraId="70BE8C05" w14:textId="5F16BD53" w:rsidR="00F93D36" w:rsidRPr="00F93D36" w:rsidRDefault="00F93D36" w:rsidP="00F93D36">
      <w:pPr>
        <w:pStyle w:val="NormalWeb"/>
        <w:spacing w:before="0" w:beforeAutospacing="0" w:after="0" w:afterAutospacing="0"/>
        <w:rPr>
          <w:rFonts w:ascii="Arial" w:hAnsi="Arial" w:cs="Arial"/>
          <w:color w:val="auto"/>
          <w:kern w:val="24"/>
        </w:rPr>
      </w:pPr>
      <w:bookmarkStart w:id="0" w:name="_GoBack"/>
      <w:bookmarkEnd w:id="0"/>
      <w:r w:rsidRPr="00F93D36">
        <w:rPr>
          <w:rFonts w:ascii="Arial" w:hAnsi="Arial" w:cs="Arial"/>
          <w:color w:val="auto"/>
          <w:kern w:val="24"/>
        </w:rPr>
        <w:t>Pour jouer aux apprentis épidémiologistes (les spécialistes des épidémies) calculons le pourcentage de sujets immunisés nécessaire pour obtenir une immunité collective.</w:t>
      </w:r>
    </w:p>
    <w:p w14:paraId="590E8038" w14:textId="77777777" w:rsidR="00F93D36" w:rsidRPr="00F93D36" w:rsidRDefault="00F93D36" w:rsidP="00F93D36">
      <w:pPr>
        <w:pStyle w:val="NormalWeb"/>
        <w:spacing w:before="0" w:beforeAutospacing="0" w:after="0" w:afterAutospacing="0"/>
        <w:rPr>
          <w:rFonts w:ascii="Arial" w:hAnsi="Arial" w:cs="Arial"/>
          <w:color w:val="auto"/>
        </w:rPr>
      </w:pPr>
      <w:r w:rsidRPr="00F93D36">
        <w:rPr>
          <w:rFonts w:ascii="Arial" w:hAnsi="Arial" w:cs="Arial"/>
          <w:color w:val="auto"/>
        </w:rPr>
        <w:t>Le seuil d'immunité collective est le pourcentage de la population qui doit être immunisé pour bloquer ces chaînes de transmission et pour que le virus ne puisse pas circuler et se calcule selon la formule suivante :1 – 1/R0</w:t>
      </w:r>
    </w:p>
    <w:p w14:paraId="1C59CD78" w14:textId="77777777" w:rsidR="00F93D36" w:rsidRPr="00F93D36" w:rsidRDefault="00F93D36" w:rsidP="00F93D36">
      <w:pPr>
        <w:pStyle w:val="NormalWeb"/>
        <w:spacing w:before="0" w:beforeAutospacing="0" w:after="0" w:afterAutospacing="0"/>
        <w:rPr>
          <w:rFonts w:ascii="Arial" w:hAnsi="Arial" w:cs="Arial"/>
          <w:color w:val="auto"/>
        </w:rPr>
      </w:pPr>
    </w:p>
    <w:p w14:paraId="3C2C485D" w14:textId="77777777" w:rsidR="00F93D36" w:rsidRPr="00F93D36" w:rsidRDefault="00F93D36" w:rsidP="00F93D36">
      <w:pPr>
        <w:pStyle w:val="NormalWeb"/>
        <w:numPr>
          <w:ilvl w:val="0"/>
          <w:numId w:val="1"/>
        </w:numPr>
        <w:spacing w:before="0" w:beforeAutospacing="0" w:after="0" w:afterAutospacing="0"/>
        <w:jc w:val="left"/>
        <w:rPr>
          <w:rFonts w:ascii="Arial" w:hAnsi="Arial" w:cs="Arial"/>
          <w:bCs/>
          <w:color w:val="auto"/>
          <w:kern w:val="24"/>
        </w:rPr>
      </w:pPr>
      <w:r w:rsidRPr="00F93D36">
        <w:rPr>
          <w:rFonts w:ascii="Arial" w:hAnsi="Arial" w:cs="Arial"/>
          <w:color w:val="auto"/>
          <w:kern w:val="24"/>
        </w:rPr>
        <w:t>Calculer</w:t>
      </w:r>
      <w:r w:rsidRPr="00F93D36">
        <w:rPr>
          <w:rFonts w:ascii="Arial" w:hAnsi="Arial" w:cs="Arial"/>
          <w:bCs/>
          <w:color w:val="auto"/>
          <w:kern w:val="24"/>
        </w:rPr>
        <w:t xml:space="preserve"> le seuil d’immunité collective pour des infections ayant un R0 estimé différent en complétant la colonne de droite du tableau ci-dessous :</w:t>
      </w:r>
    </w:p>
    <w:p w14:paraId="09E0F47A" w14:textId="77777777" w:rsidR="00F93D36" w:rsidRPr="00F93D36" w:rsidRDefault="00F93D36" w:rsidP="00F93D36">
      <w:pPr>
        <w:pStyle w:val="NormalWeb"/>
        <w:spacing w:before="0" w:beforeAutospacing="0" w:after="0" w:afterAutospacing="0"/>
        <w:ind w:left="720"/>
        <w:rPr>
          <w:rFonts w:ascii="Arial" w:hAnsi="Arial" w:cs="Arial"/>
          <w:bCs/>
          <w:color w:val="auto"/>
          <w:kern w:val="24"/>
        </w:rPr>
      </w:pPr>
      <w:r w:rsidRPr="00F93D36">
        <w:rPr>
          <w:rFonts w:ascii="Arial" w:hAnsi="Arial" w:cs="Arial"/>
          <w:bCs/>
          <w:noProof/>
          <w:color w:val="auto"/>
          <w:kern w:val="24"/>
        </w:rPr>
        <w:drawing>
          <wp:inline distT="0" distB="0" distL="0" distR="0" wp14:anchorId="55B7F5E7" wp14:editId="0D61917D">
            <wp:extent cx="5353797" cy="1981477"/>
            <wp:effectExtent l="0" t="0" r="0" b="0"/>
            <wp:docPr id="80" name="Image 80" descr="tableau indiquant pour chaque type de virus le R0 estimé et le seuil d'immunité collective&#10;- rougeole R0 =18, seuil=95%&#10;-coqueluche R0=15, seuil=93%&#10;-diphtérie R0=7, seuil=86%&#10;-rubéole R0=6, seuil=84%&#10;-oreillons R0=5, seuil=80%&#10;- covid-19 variant delta R0=6, seuil=84%&#10;-covid-19 variant historique R0=3, seuil=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53797" cy="1981477"/>
                    </a:xfrm>
                    <a:prstGeom prst="rect">
                      <a:avLst/>
                    </a:prstGeom>
                  </pic:spPr>
                </pic:pic>
              </a:graphicData>
            </a:graphic>
          </wp:inline>
        </w:drawing>
      </w:r>
    </w:p>
    <w:p w14:paraId="160F93E3" w14:textId="77777777" w:rsidR="00F93D36" w:rsidRPr="00F93D36" w:rsidRDefault="00F93D36" w:rsidP="00F93D36">
      <w:pPr>
        <w:pStyle w:val="NormalWeb"/>
        <w:numPr>
          <w:ilvl w:val="0"/>
          <w:numId w:val="1"/>
        </w:numPr>
        <w:spacing w:before="0" w:beforeAutospacing="0" w:after="0" w:afterAutospacing="0"/>
        <w:jc w:val="left"/>
        <w:rPr>
          <w:rFonts w:ascii="Arial" w:hAnsi="Arial" w:cs="Arial"/>
          <w:iCs/>
          <w:color w:val="auto"/>
          <w:kern w:val="24"/>
        </w:rPr>
      </w:pPr>
      <w:r w:rsidRPr="00F93D36">
        <w:rPr>
          <w:rFonts w:ascii="Arial" w:hAnsi="Arial" w:cs="Arial"/>
          <w:color w:val="auto"/>
          <w:kern w:val="24"/>
        </w:rPr>
        <w:t>En s’appuyant sur ce tableau, essayer de prévoir comment le seuil pour atteindre une immunité collective va évoluer dans le cas d’apparition de nouveau variant du COVID-19 plus contagieux ?</w:t>
      </w:r>
    </w:p>
    <w:p w14:paraId="6EA91B57" w14:textId="77777777" w:rsidR="00F93D36" w:rsidRPr="00F93D36" w:rsidRDefault="00F93D36" w:rsidP="00F93D36">
      <w:pPr>
        <w:pStyle w:val="NormalWeb"/>
        <w:spacing w:before="0" w:beforeAutospacing="0" w:after="0" w:afterAutospacing="0"/>
        <w:ind w:left="360"/>
        <w:rPr>
          <w:rFonts w:ascii="Arial" w:hAnsi="Arial" w:cs="Arial"/>
          <w:color w:val="auto"/>
        </w:rPr>
      </w:pPr>
      <w:r w:rsidRPr="00F93D36">
        <w:rPr>
          <w:rFonts w:ascii="Arial" w:hAnsi="Arial" w:cs="Arial"/>
          <w:color w:val="auto"/>
          <w:kern w:val="24"/>
        </w:rPr>
        <w:t>………………………………………………………………………………………………………………………………………………………………………………………………………………………………………………………………………………………………………………………………………………</w:t>
      </w:r>
    </w:p>
    <w:p w14:paraId="688ADB6E" w14:textId="77777777" w:rsidR="00F93D36" w:rsidRPr="00F93D36" w:rsidRDefault="00F93D36" w:rsidP="00F93D36">
      <w:pPr>
        <w:pStyle w:val="NormalWeb"/>
        <w:numPr>
          <w:ilvl w:val="0"/>
          <w:numId w:val="2"/>
        </w:numPr>
        <w:spacing w:before="0" w:beforeAutospacing="0" w:after="0" w:afterAutospacing="0"/>
        <w:jc w:val="left"/>
        <w:rPr>
          <w:rFonts w:ascii="Arial" w:hAnsi="Arial" w:cs="Arial"/>
          <w:color w:val="auto"/>
          <w:kern w:val="24"/>
        </w:rPr>
      </w:pPr>
      <w:r w:rsidRPr="00F93D36">
        <w:rPr>
          <w:rFonts w:ascii="Arial" w:hAnsi="Arial" w:cs="Arial"/>
          <w:color w:val="auto"/>
          <w:kern w:val="24"/>
        </w:rPr>
        <w:t>Selon toi, de quels autres éléments faudrait-il tenir compte pour calculer le taux de couverture vaccinale recommandé ?</w:t>
      </w:r>
    </w:p>
    <w:p w14:paraId="3210EA7F" w14:textId="77777777" w:rsidR="00F93D36" w:rsidRPr="00F93D36" w:rsidRDefault="00F93D36" w:rsidP="00F93D36">
      <w:pPr>
        <w:pStyle w:val="NormalWeb"/>
        <w:spacing w:before="0" w:beforeAutospacing="0" w:after="0" w:afterAutospacing="0"/>
        <w:ind w:left="360"/>
        <w:rPr>
          <w:rFonts w:ascii="Arial" w:hAnsi="Arial" w:cs="Arial"/>
          <w:color w:val="auto"/>
          <w:kern w:val="24"/>
        </w:rPr>
      </w:pPr>
      <w:r w:rsidRPr="00F93D36">
        <w:rPr>
          <w:rFonts w:ascii="Arial" w:hAnsi="Arial" w:cs="Arial"/>
          <w:color w:val="auto"/>
          <w:kern w:val="24"/>
        </w:rPr>
        <w:t>………………………………………………………………………………………………………………………………………………………………………………………………………………………………………………………………………………………………………………………………………………</w:t>
      </w:r>
    </w:p>
    <w:p w14:paraId="4E00D451" w14:textId="77777777" w:rsidR="00F93D36" w:rsidRPr="00F93D36" w:rsidRDefault="00F93D36" w:rsidP="00F93D36">
      <w:pPr>
        <w:pStyle w:val="NormalWeb"/>
        <w:numPr>
          <w:ilvl w:val="0"/>
          <w:numId w:val="2"/>
        </w:numPr>
        <w:spacing w:before="0" w:beforeAutospacing="0" w:after="0" w:afterAutospacing="0"/>
        <w:jc w:val="left"/>
        <w:rPr>
          <w:rFonts w:ascii="Arial" w:hAnsi="Arial" w:cs="Arial"/>
          <w:color w:val="auto"/>
          <w:kern w:val="24"/>
        </w:rPr>
      </w:pPr>
      <w:r w:rsidRPr="00F93D36">
        <w:rPr>
          <w:rFonts w:ascii="Arial" w:hAnsi="Arial" w:cs="Arial"/>
          <w:color w:val="auto"/>
          <w:kern w:val="24"/>
        </w:rPr>
        <w:t>Comment pourrait-on maintenir l’immunité collective dans le temps ?</w:t>
      </w:r>
    </w:p>
    <w:p w14:paraId="10DDFA86" w14:textId="77777777" w:rsidR="00F93D36" w:rsidRPr="00F93D36" w:rsidRDefault="00F93D36" w:rsidP="00F93D36">
      <w:pPr>
        <w:pStyle w:val="NormalWeb"/>
        <w:spacing w:before="0" w:beforeAutospacing="0" w:after="0" w:afterAutospacing="0"/>
        <w:ind w:left="360"/>
        <w:rPr>
          <w:rFonts w:ascii="Arial" w:hAnsi="Arial" w:cs="Arial"/>
          <w:color w:val="auto"/>
          <w:kern w:val="24"/>
        </w:rPr>
      </w:pPr>
      <w:r w:rsidRPr="00F93D36">
        <w:rPr>
          <w:rFonts w:ascii="Arial" w:hAnsi="Arial" w:cs="Arial"/>
          <w:color w:val="auto"/>
          <w:kern w:val="24"/>
        </w:rPr>
        <w:t>………………………………………………………………………………………………………………………………………………………………………………………………………………………………………………………………………………………………………………………………………………</w:t>
      </w:r>
    </w:p>
    <w:p w14:paraId="2EE0AB04" w14:textId="77777777" w:rsidR="00F93D36" w:rsidRPr="00F93D36" w:rsidRDefault="00F93D36" w:rsidP="00F93D36">
      <w:pPr>
        <w:numPr>
          <w:ilvl w:val="0"/>
          <w:numId w:val="2"/>
        </w:numPr>
        <w:spacing w:line="240" w:lineRule="auto"/>
        <w:rPr>
          <w:rFonts w:eastAsia="Times New Roman" w:cs="Arial"/>
          <w:kern w:val="24"/>
          <w:lang w:eastAsia="fr-FR"/>
        </w:rPr>
      </w:pPr>
      <w:r w:rsidRPr="00F93D36">
        <w:rPr>
          <w:rFonts w:eastAsia="Times New Roman" w:cs="Arial"/>
          <w:kern w:val="24"/>
          <w:lang w:eastAsia="fr-FR"/>
        </w:rPr>
        <w:t>Connais-tu les recommandations de vaccination pour les 5 premières infections du tableau ?</w:t>
      </w:r>
    </w:p>
    <w:p w14:paraId="7C0D851A" w14:textId="77777777" w:rsidR="00F93D36" w:rsidRPr="00F93D36" w:rsidRDefault="00F93D36" w:rsidP="00F93D36">
      <w:pPr>
        <w:pStyle w:val="NormalWeb"/>
        <w:spacing w:before="0" w:beforeAutospacing="0" w:after="0" w:afterAutospacing="0"/>
        <w:ind w:left="360"/>
        <w:rPr>
          <w:rFonts w:ascii="Arial" w:hAnsi="Arial" w:cs="Arial"/>
          <w:color w:val="auto"/>
          <w:kern w:val="24"/>
        </w:rPr>
      </w:pPr>
      <w:r w:rsidRPr="00F93D36">
        <w:rPr>
          <w:rFonts w:ascii="Arial" w:hAnsi="Arial" w:cs="Arial"/>
          <w:color w:val="auto"/>
          <w:kern w:val="24"/>
        </w:rPr>
        <w:t>………………………………………………………………………………………………………………………………………………………………………………………………………………………………………………………………………………………………………………………………………………</w:t>
      </w:r>
    </w:p>
    <w:p w14:paraId="72E1B135" w14:textId="3A392F5B" w:rsidR="006D6003" w:rsidRPr="00F93D36" w:rsidRDefault="00F93D36" w:rsidP="00F93D36">
      <w:pPr>
        <w:numPr>
          <w:ilvl w:val="0"/>
          <w:numId w:val="2"/>
        </w:numPr>
        <w:spacing w:line="240" w:lineRule="auto"/>
        <w:rPr>
          <w:rFonts w:eastAsia="Times New Roman" w:cs="Arial"/>
          <w:kern w:val="24"/>
          <w:lang w:eastAsia="fr-FR"/>
        </w:rPr>
      </w:pPr>
      <w:r w:rsidRPr="00F93D36">
        <w:rPr>
          <w:rFonts w:eastAsia="Times New Roman" w:cs="Arial"/>
          <w:kern w:val="24"/>
          <w:lang w:eastAsia="fr-FR"/>
        </w:rPr>
        <w:t>Lors d’une pandémie, qu’est-ce que chacun peut faire pour se protéger et protéger les autres ?</w:t>
      </w:r>
    </w:p>
    <w:sectPr w:rsidR="006D6003" w:rsidRPr="00F93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E3FE9"/>
    <w:multiLevelType w:val="hybridMultilevel"/>
    <w:tmpl w:val="350088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23530DC"/>
    <w:multiLevelType w:val="hybridMultilevel"/>
    <w:tmpl w:val="84F41C2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36"/>
    <w:rsid w:val="004F34E1"/>
    <w:rsid w:val="00564922"/>
    <w:rsid w:val="006D6003"/>
    <w:rsid w:val="00B54DBC"/>
    <w:rsid w:val="00C11EBE"/>
    <w:rsid w:val="00F9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83E8"/>
  <w15:chartTrackingRefBased/>
  <w15:docId w15:val="{19335355-F8CC-4D7D-8EAE-84213C96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D36"/>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F9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3D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3D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3D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3D3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3D3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3D3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3D3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3D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3D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3D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3D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3D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3D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3D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3D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3D36"/>
    <w:rPr>
      <w:rFonts w:eastAsiaTheme="majorEastAsia" w:cstheme="majorBidi"/>
      <w:color w:val="272727" w:themeColor="text1" w:themeTint="D8"/>
    </w:rPr>
  </w:style>
  <w:style w:type="paragraph" w:styleId="Titre">
    <w:name w:val="Title"/>
    <w:basedOn w:val="Normal"/>
    <w:next w:val="Normal"/>
    <w:link w:val="TitreCar"/>
    <w:uiPriority w:val="10"/>
    <w:qFormat/>
    <w:rsid w:val="00F9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3D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3D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3D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3D36"/>
    <w:pPr>
      <w:spacing w:before="160"/>
      <w:jc w:val="center"/>
    </w:pPr>
    <w:rPr>
      <w:i/>
      <w:iCs/>
      <w:color w:val="404040" w:themeColor="text1" w:themeTint="BF"/>
    </w:rPr>
  </w:style>
  <w:style w:type="character" w:customStyle="1" w:styleId="CitationCar">
    <w:name w:val="Citation Car"/>
    <w:basedOn w:val="Policepardfaut"/>
    <w:link w:val="Citation"/>
    <w:uiPriority w:val="29"/>
    <w:rsid w:val="00F93D36"/>
    <w:rPr>
      <w:i/>
      <w:iCs/>
      <w:color w:val="404040" w:themeColor="text1" w:themeTint="BF"/>
    </w:rPr>
  </w:style>
  <w:style w:type="paragraph" w:styleId="Paragraphedeliste">
    <w:name w:val="List Paragraph"/>
    <w:basedOn w:val="Normal"/>
    <w:uiPriority w:val="34"/>
    <w:qFormat/>
    <w:rsid w:val="00F93D36"/>
    <w:pPr>
      <w:ind w:left="720"/>
      <w:contextualSpacing/>
    </w:pPr>
  </w:style>
  <w:style w:type="character" w:styleId="Accentuationintense">
    <w:name w:val="Intense Emphasis"/>
    <w:basedOn w:val="Policepardfaut"/>
    <w:uiPriority w:val="21"/>
    <w:qFormat/>
    <w:rsid w:val="00F93D36"/>
    <w:rPr>
      <w:i/>
      <w:iCs/>
      <w:color w:val="0F4761" w:themeColor="accent1" w:themeShade="BF"/>
    </w:rPr>
  </w:style>
  <w:style w:type="paragraph" w:styleId="Citationintense">
    <w:name w:val="Intense Quote"/>
    <w:basedOn w:val="Normal"/>
    <w:next w:val="Normal"/>
    <w:link w:val="CitationintenseCar"/>
    <w:uiPriority w:val="30"/>
    <w:qFormat/>
    <w:rsid w:val="00F9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3D36"/>
    <w:rPr>
      <w:i/>
      <w:iCs/>
      <w:color w:val="0F4761" w:themeColor="accent1" w:themeShade="BF"/>
    </w:rPr>
  </w:style>
  <w:style w:type="character" w:styleId="Rfrenceintense">
    <w:name w:val="Intense Reference"/>
    <w:basedOn w:val="Policepardfaut"/>
    <w:uiPriority w:val="32"/>
    <w:qFormat/>
    <w:rsid w:val="00F93D36"/>
    <w:rPr>
      <w:b/>
      <w:bCs/>
      <w:smallCaps/>
      <w:color w:val="0F4761" w:themeColor="accent1" w:themeShade="BF"/>
      <w:spacing w:val="5"/>
    </w:rPr>
  </w:style>
  <w:style w:type="paragraph" w:styleId="NormalWeb">
    <w:name w:val="Normal (Web)"/>
    <w:basedOn w:val="Normal"/>
    <w:uiPriority w:val="99"/>
    <w:unhideWhenUsed/>
    <w:rsid w:val="00F93D36"/>
    <w:pPr>
      <w:spacing w:before="100" w:beforeAutospacing="1" w:after="100" w:afterAutospacing="1" w:line="240" w:lineRule="auto"/>
      <w:jc w:val="both"/>
    </w:pPr>
    <w:rPr>
      <w:rFonts w:ascii="Times New Roman" w:eastAsia="Times New Roman" w:hAnsi="Times New Roman" w:cs="Times New Roman"/>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1417</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2025-07-16T08:05:00Z</dcterms:created>
  <dcterms:modified xsi:type="dcterms:W3CDTF">2025-12-23T09:28:00Z</dcterms:modified>
</cp:coreProperties>
</file>