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95" w:rsidRPr="00D05095" w:rsidRDefault="00E83C95" w:rsidP="00E83C9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05095">
        <w:rPr>
          <w:rFonts w:ascii="Arial" w:hAnsi="Arial" w:cs="Arial"/>
          <w:b/>
          <w:bCs/>
          <w:color w:val="auto"/>
        </w:rPr>
        <w:t>Hygiène des mains</w:t>
      </w:r>
    </w:p>
    <w:p w:rsidR="00E83C95" w:rsidRPr="00D05095" w:rsidRDefault="00E83C95" w:rsidP="00E83C9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</w:rPr>
      </w:pPr>
      <w:r w:rsidRPr="00D05095">
        <w:rPr>
          <w:rFonts w:ascii="Arial" w:hAnsi="Arial" w:cs="Arial"/>
          <w:b/>
          <w:bCs/>
          <w:noProof/>
          <w:color w:val="auto"/>
          <w:sz w:val="36"/>
          <w:lang w:eastAsia="fr-FR"/>
        </w:rPr>
        <w:drawing>
          <wp:anchor distT="0" distB="0" distL="114300" distR="114300" simplePos="0" relativeHeight="251659264" behindDoc="0" locked="0" layoutInCell="1" allowOverlap="1" wp14:anchorId="28B1D3F5" wp14:editId="491D2B68">
            <wp:simplePos x="0" y="0"/>
            <wp:positionH relativeFrom="column">
              <wp:posOffset>6345656</wp:posOffset>
            </wp:positionH>
            <wp:positionV relativeFrom="paragraph">
              <wp:posOffset>193904</wp:posOffset>
            </wp:positionV>
            <wp:extent cx="702260" cy="643593"/>
            <wp:effectExtent l="0" t="0" r="3175" b="4445"/>
            <wp:wrapNone/>
            <wp:docPr id="1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60" cy="64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095">
        <w:rPr>
          <w:rFonts w:ascii="Arial" w:hAnsi="Arial" w:cs="Arial"/>
          <w:b/>
          <w:bCs/>
          <w:noProof/>
          <w:color w:val="auto"/>
          <w:sz w:val="36"/>
          <w:lang w:eastAsia="fr-FR"/>
        </w:rPr>
        <w:t>Activité alternative</w:t>
      </w:r>
      <w:r w:rsidRPr="00D05095">
        <w:rPr>
          <w:rFonts w:ascii="Arial" w:hAnsi="Arial" w:cs="Arial"/>
          <w:b/>
          <w:bCs/>
          <w:color w:val="auto"/>
          <w:sz w:val="36"/>
        </w:rPr>
        <w:t xml:space="preserve"> - Guide enseignant (GE5)</w:t>
      </w:r>
    </w:p>
    <w:p w:rsidR="00E83C95" w:rsidRDefault="00E83C95" w:rsidP="00E83C9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bookmarkStart w:id="0" w:name="_GoBack"/>
      <w:r w:rsidRPr="00D05095">
        <w:rPr>
          <w:rFonts w:ascii="Arial" w:hAnsi="Arial" w:cs="Arial"/>
          <w:b/>
          <w:bCs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17009B" wp14:editId="307F339E">
                <wp:simplePos x="0" y="0"/>
                <wp:positionH relativeFrom="column">
                  <wp:posOffset>-104775</wp:posOffset>
                </wp:positionH>
                <wp:positionV relativeFrom="paragraph">
                  <wp:posOffset>121285</wp:posOffset>
                </wp:positionV>
                <wp:extent cx="7038975" cy="8686800"/>
                <wp:effectExtent l="19050" t="19050" r="28575" b="19050"/>
                <wp:wrapNone/>
                <wp:docPr id="1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86868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32BAA" id="Rectangle 2" o:spid="_x0000_s1026" style="position:absolute;margin-left:-8.25pt;margin-top:9.55pt;width:554.25pt;height:68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" filled="f" strokecolor="#1f396c" strokeweight="2.25pt">
                <v:path arrowok="t"/>
              </v:rect>
            </w:pict>
          </mc:Fallback>
        </mc:AlternateContent>
      </w:r>
      <w:bookmarkEnd w:id="0"/>
    </w:p>
    <w:p w:rsidR="00E83C95" w:rsidRPr="00D05095" w:rsidRDefault="00E83C95" w:rsidP="00E83C95">
      <w:pPr>
        <w:pStyle w:val="Titre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D05095">
        <w:rPr>
          <w:rFonts w:ascii="Arial" w:hAnsi="Arial" w:cs="Arial"/>
          <w:b/>
          <w:bCs/>
          <w:color w:val="auto"/>
        </w:rPr>
        <w:t>Activité alternative</w:t>
      </w:r>
    </w:p>
    <w:p w:rsidR="00E83C95" w:rsidRPr="00D05095" w:rsidRDefault="00E83C95" w:rsidP="00E83C95">
      <w:pPr>
        <w:pStyle w:val="Paragraphedeliste"/>
        <w:numPr>
          <w:ilvl w:val="0"/>
          <w:numId w:val="1"/>
        </w:num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Cette activité peut être réalisée en groupes de 2-4 élèves ou faire l’objet d’une discussion.</w:t>
      </w:r>
    </w:p>
    <w:p w:rsidR="00E83C95" w:rsidRPr="00D05095" w:rsidRDefault="00E83C95" w:rsidP="00E83C95">
      <w:pPr>
        <w:pStyle w:val="Paragraphedeliste"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E83C95" w:rsidRPr="00D05095" w:rsidRDefault="00E83C95" w:rsidP="00E83C9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aux élèves s’ils ont déjà eu une gastro-entérite. À l’aide de DCE 1 et DCE 2, leur demander d’imaginer la transmission d’une gastro-entérite dans leur école à partir d’un seul élève infecté.</w:t>
      </w:r>
    </w:p>
    <w:p w:rsidR="00E83C95" w:rsidRPr="00D05095" w:rsidRDefault="00E83C95" w:rsidP="00E83C95">
      <w:pPr>
        <w:pStyle w:val="Paragraphedeliste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E83C95" w:rsidRPr="00D05095" w:rsidRDefault="00E83C95" w:rsidP="00E83C9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à la classe de tenir compte de situations de la vie quotidienne à l’école (aller aux toilettes sans se laver les mains, ou les laver sans savon, tousser dans ses mains sans les laver après, prendre ses repas à la cantine de l’école, emprunter des stylos ou d’autres objets à d’autres élèves, se serrer la main, utiliser un ordinateur…).</w:t>
      </w:r>
    </w:p>
    <w:p w:rsidR="00E83C95" w:rsidRPr="00D05095" w:rsidRDefault="00E83C95" w:rsidP="00E83C95">
      <w:pPr>
        <w:pStyle w:val="Paragraphedeliste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E83C95" w:rsidRPr="00D05095" w:rsidRDefault="00E83C95" w:rsidP="00E83C9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Demander aux groupes ou à la classe de décrire comment l’infection pourrait se propager et avec quelle rapidité elle pourrait se propager à travers la classe ou à travers l’école.</w:t>
      </w:r>
    </w:p>
    <w:p w:rsidR="00E83C95" w:rsidRPr="00D05095" w:rsidRDefault="00E83C95" w:rsidP="00E83C95">
      <w:pPr>
        <w:pStyle w:val="Paragraphedeliste"/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0D338D" w:rsidRDefault="00E83C95" w:rsidP="00E83C95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D05095">
        <w:rPr>
          <w:rFonts w:ascii="Arial" w:hAnsi="Arial" w:cs="Arial"/>
          <w:sz w:val="24"/>
          <w:szCs w:val="24"/>
        </w:rPr>
        <w:t>Proposer aux élèves de réfléchir et de discuter des difficultés rencontrées pour respecter l’hygiène des mains à l’école et leur faire exprimer des suggestions sur la façon d’améliorer l’utilisation des ressources d’hygiène existantes.</w:t>
      </w:r>
    </w:p>
    <w:p w:rsidR="00E83C95" w:rsidRDefault="00E83C95" w:rsidP="00E83C95">
      <w:r w:rsidRPr="00D05095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0D10CDA1" wp14:editId="58AD5295">
            <wp:extent cx="6209665" cy="5112385"/>
            <wp:effectExtent l="0" t="0" r="0" b="0"/>
            <wp:docPr id="20" name="Image 20" descr="schéma reprenant les différents moyen de propagation d'une infection:&#10;- sources d'infection (animaux)&#10;- portes de sortie des microbes (toux, éternuements)&#10;- transmission des infections (manuportée)&#10;- porte d'entrée des microbes (alimentation)&#10;- personne à risque d'infection (personnes âgées, enfants, mala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schéma reprenant les différents moyen de propagation d'une infection:&#10;- sources d'infection (animaux)&#10;- portes de sortie des microbes (toux, éternuements)&#10;- transmission des infections (manuportée)&#10;- porte d'entrée des microbes (alimentation)&#10;- personne à risque d'infection (personnes âgées, enfants, malade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5112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3C95" w:rsidSect="00E83C9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5FF" w:rsidRDefault="002275FF" w:rsidP="00E83C95">
      <w:pPr>
        <w:spacing w:after="0" w:line="240" w:lineRule="auto"/>
      </w:pPr>
      <w:r>
        <w:separator/>
      </w:r>
    </w:p>
  </w:endnote>
  <w:endnote w:type="continuationSeparator" w:id="0">
    <w:p w:rsidR="002275FF" w:rsidRDefault="002275FF" w:rsidP="00E8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95" w:rsidRPr="00E83C95" w:rsidRDefault="00E83C95">
    <w:pPr>
      <w:pStyle w:val="Pieddepage"/>
      <w:rPr>
        <w:rFonts w:ascii="Arial" w:hAnsi="Arial" w:cs="Arial"/>
        <w:sz w:val="24"/>
        <w:szCs w:val="24"/>
      </w:rPr>
    </w:pPr>
    <w:r w:rsidRPr="00BC55DD">
      <w:rPr>
        <w:rFonts w:ascii="Arial" w:hAnsi="Arial" w:cs="Arial"/>
        <w:sz w:val="24"/>
        <w:szCs w:val="24"/>
      </w:rPr>
      <w:t xml:space="preserve">Hygiène des mains – </w:t>
    </w:r>
    <w:r>
      <w:rPr>
        <w:rFonts w:ascii="Arial" w:hAnsi="Arial" w:cs="Arial"/>
        <w:sz w:val="24"/>
        <w:szCs w:val="24"/>
      </w:rPr>
      <w:t>Âge : 13-19 ans</w:t>
    </w:r>
    <w:r w:rsidRPr="00BC55DD">
      <w:rPr>
        <w:rFonts w:ascii="Arial" w:hAnsi="Arial" w:cs="Arial"/>
        <w:sz w:val="24"/>
        <w:szCs w:val="24"/>
      </w:rPr>
      <w:t xml:space="preserve"> </w:t>
    </w:r>
    <w:r w:rsidRPr="00BC55DD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BC55DD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sz w:val="24"/>
          <w:szCs w:val="24"/>
        </w:rPr>
        <w:id w:val="-2052910157"/>
        <w:docPartObj>
          <w:docPartGallery w:val="Page Numbers (Bottom of Page)"/>
          <w:docPartUnique/>
        </w:docPartObj>
      </w:sdtPr>
      <w:sdtContent>
        <w:r w:rsidRPr="00BC55DD">
          <w:rPr>
            <w:rFonts w:ascii="Arial" w:hAnsi="Arial" w:cs="Arial"/>
            <w:sz w:val="24"/>
            <w:szCs w:val="24"/>
          </w:rPr>
          <w:fldChar w:fldCharType="begin"/>
        </w:r>
        <w:r w:rsidRPr="00BC55DD">
          <w:rPr>
            <w:rFonts w:ascii="Arial" w:hAnsi="Arial" w:cs="Arial"/>
            <w:sz w:val="24"/>
            <w:szCs w:val="24"/>
          </w:rPr>
          <w:instrText>PAGE   \* MERGEFORMAT</w:instrText>
        </w:r>
        <w:r w:rsidRPr="00BC55DD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5</w:t>
        </w:r>
        <w:r w:rsidRPr="00BC55DD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5FF" w:rsidRDefault="002275FF" w:rsidP="00E83C95">
      <w:pPr>
        <w:spacing w:after="0" w:line="240" w:lineRule="auto"/>
      </w:pPr>
      <w:r>
        <w:separator/>
      </w:r>
    </w:p>
  </w:footnote>
  <w:footnote w:type="continuationSeparator" w:id="0">
    <w:p w:rsidR="002275FF" w:rsidRDefault="002275FF" w:rsidP="00E8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95"/>
    <w:rsid w:val="002275FF"/>
    <w:rsid w:val="00370796"/>
    <w:rsid w:val="0061151D"/>
    <w:rsid w:val="00E8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07B5"/>
  <w15:chartTrackingRefBased/>
  <w15:docId w15:val="{3C6EE8EB-C925-46F1-84EF-70D806CF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C95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8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8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3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83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83C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3C9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83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3C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</cp:revision>
  <dcterms:created xsi:type="dcterms:W3CDTF">2025-12-22T10:22:00Z</dcterms:created>
  <dcterms:modified xsi:type="dcterms:W3CDTF">2025-12-22T10:23:00Z</dcterms:modified>
</cp:coreProperties>
</file>