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9C7" w:rsidRPr="006F32CB" w:rsidRDefault="00D469C7" w:rsidP="002F292F">
      <w:pPr>
        <w:pStyle w:val="Titre1"/>
      </w:pPr>
      <w:r w:rsidRPr="006F32CB">
        <w:t>Infections Sexuellement Transmissibles</w:t>
      </w:r>
    </w:p>
    <w:p w:rsidR="00D469C7" w:rsidRPr="006F32CB" w:rsidRDefault="00D469C7" w:rsidP="002F292F">
      <w:pPr>
        <w:pStyle w:val="Titre1"/>
      </w:pPr>
      <w:r w:rsidRPr="006F32CB">
        <w:t xml:space="preserve">Plan </w:t>
      </w:r>
      <w:r>
        <w:t>de séquence</w:t>
      </w:r>
      <w:r w:rsidRPr="006F32CB">
        <w:t xml:space="preserve"> - Guide enseignant (GE2)</w:t>
      </w:r>
    </w:p>
    <w:p w:rsidR="00D469C7" w:rsidRPr="00594299" w:rsidRDefault="002F292F" w:rsidP="002F292F">
      <w:pPr>
        <w:rPr>
          <w:noProof/>
          <w:lang w:eastAsia="fr-FR"/>
        </w:rPr>
      </w:pPr>
      <w:r w:rsidRPr="006F32CB">
        <w:rPr>
          <w:noProof/>
          <w:lang w:eastAsia="fr-FR"/>
        </w:rPr>
        <mc:AlternateContent>
          <mc:Choice Requires="wps">
            <w:drawing>
              <wp:anchor distT="0" distB="0" distL="114300" distR="114300" simplePos="0" relativeHeight="251659264" behindDoc="1" locked="0" layoutInCell="1" allowOverlap="1" wp14:anchorId="5DD81EB2" wp14:editId="471E8022">
                <wp:simplePos x="0" y="0"/>
                <wp:positionH relativeFrom="column">
                  <wp:posOffset>-165735</wp:posOffset>
                </wp:positionH>
                <wp:positionV relativeFrom="paragraph">
                  <wp:posOffset>278765</wp:posOffset>
                </wp:positionV>
                <wp:extent cx="7038975" cy="8420100"/>
                <wp:effectExtent l="19050" t="19050" r="28575" b="19050"/>
                <wp:wrapNone/>
                <wp:docPr id="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201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FB443" id="Rectangle 2" o:spid="_x0000_s1026" style="position:absolute;margin-left:-13.05pt;margin-top:21.95pt;width:554.25pt;height:6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RpvAIAAIs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" filled="f" strokecolor="#1f396c" strokeweight="2.25pt">
                <v:path arrowok="t"/>
              </v:rect>
            </w:pict>
          </mc:Fallback>
        </mc:AlternateContent>
      </w:r>
      <w:r w:rsidR="00D469C7" w:rsidRPr="00594299">
        <w:rPr>
          <w:noProof/>
          <w:lang w:eastAsia="fr-FR"/>
        </w:rPr>
        <w:drawing>
          <wp:anchor distT="0" distB="0" distL="114300" distR="114300" simplePos="0" relativeHeight="251660288" behindDoc="0" locked="0" layoutInCell="1" allowOverlap="1" wp14:anchorId="5B9AF1DA" wp14:editId="623D1EEC">
            <wp:simplePos x="0" y="0"/>
            <wp:positionH relativeFrom="column">
              <wp:posOffset>6238875</wp:posOffset>
            </wp:positionH>
            <wp:positionV relativeFrom="paragraph">
              <wp:posOffset>46736</wp:posOffset>
            </wp:positionV>
            <wp:extent cx="772160" cy="692785"/>
            <wp:effectExtent l="0" t="0" r="0" b="0"/>
            <wp:wrapNone/>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9C7" w:rsidRDefault="00D469C7" w:rsidP="002F292F">
      <w:pPr>
        <w:pStyle w:val="Titre2"/>
      </w:pPr>
      <w:r>
        <w:t>Âge : 13-19 ans</w:t>
      </w:r>
    </w:p>
    <w:p w:rsidR="00D469C7" w:rsidRPr="0072034E" w:rsidRDefault="00D469C7" w:rsidP="002F292F">
      <w:pPr>
        <w:pStyle w:val="Titre2"/>
      </w:pPr>
      <w:r w:rsidRPr="006F32CB">
        <w:t>Objectifs d’apprentissage</w:t>
      </w:r>
    </w:p>
    <w:p w:rsidR="00D469C7" w:rsidRPr="002F292F" w:rsidRDefault="00D469C7" w:rsidP="002F292F">
      <w:r w:rsidRPr="002F292F">
        <w:t xml:space="preserve">Tous les élèves seront capables </w:t>
      </w:r>
      <w:proofErr w:type="gramStart"/>
      <w:r w:rsidRPr="002F292F">
        <w:t>de:</w:t>
      </w:r>
      <w:proofErr w:type="gramEnd"/>
    </w:p>
    <w:p w:rsidR="00D469C7" w:rsidRPr="00DE3DFB" w:rsidRDefault="00D469C7" w:rsidP="002F292F">
      <w:pPr>
        <w:pStyle w:val="Paragraphedeliste"/>
        <w:numPr>
          <w:ilvl w:val="0"/>
          <w:numId w:val="3"/>
        </w:numPr>
        <w:rPr>
          <w:rFonts w:ascii="Arial" w:hAnsi="Arial" w:cs="Arial"/>
        </w:rPr>
      </w:pPr>
      <w:bookmarkStart w:id="0" w:name="_GoBack"/>
      <w:proofErr w:type="gramStart"/>
      <w:r w:rsidRPr="00DE3DFB">
        <w:rPr>
          <w:rFonts w:ascii="Arial" w:hAnsi="Arial" w:cs="Arial"/>
        </w:rPr>
        <w:t>savoir</w:t>
      </w:r>
      <w:proofErr w:type="gramEnd"/>
      <w:r w:rsidRPr="00DE3DFB">
        <w:rPr>
          <w:rFonts w:ascii="Arial" w:hAnsi="Arial" w:cs="Arial"/>
        </w:rPr>
        <w:t xml:space="preserve"> que les infections peuvent être transmises au cours de l’activité sexuelle ;</w:t>
      </w:r>
    </w:p>
    <w:p w:rsidR="00D469C7" w:rsidRPr="00DE3DFB" w:rsidRDefault="00D469C7" w:rsidP="002F292F">
      <w:pPr>
        <w:pStyle w:val="Paragraphedeliste"/>
        <w:numPr>
          <w:ilvl w:val="0"/>
          <w:numId w:val="3"/>
        </w:numPr>
        <w:rPr>
          <w:rFonts w:ascii="Arial" w:hAnsi="Arial" w:cs="Arial"/>
        </w:rPr>
      </w:pPr>
      <w:proofErr w:type="gramStart"/>
      <w:r w:rsidRPr="00DE3DFB">
        <w:rPr>
          <w:rFonts w:ascii="Arial" w:hAnsi="Arial" w:cs="Arial"/>
        </w:rPr>
        <w:t>savoir</w:t>
      </w:r>
      <w:proofErr w:type="gramEnd"/>
      <w:r w:rsidRPr="00DE3DFB">
        <w:rPr>
          <w:rFonts w:ascii="Arial" w:hAnsi="Arial" w:cs="Arial"/>
        </w:rPr>
        <w:t xml:space="preserve"> comment se protéger contre les I.S.T.</w:t>
      </w:r>
    </w:p>
    <w:bookmarkEnd w:id="0"/>
    <w:p w:rsidR="00D469C7" w:rsidRPr="00594299" w:rsidRDefault="00D469C7" w:rsidP="002F292F">
      <w:pPr>
        <w:pStyle w:val="Titre2"/>
      </w:pPr>
      <w:r w:rsidRPr="00594299">
        <w:t>Abréviations</w:t>
      </w:r>
    </w:p>
    <w:p w:rsidR="00D469C7" w:rsidRPr="00160094" w:rsidRDefault="00D469C7" w:rsidP="002F292F">
      <w:r w:rsidRPr="00160094">
        <w:t>DTE : Document de travail élèves</w:t>
      </w:r>
    </w:p>
    <w:p w:rsidR="00D469C7" w:rsidRDefault="00D469C7" w:rsidP="002F292F">
      <w:r w:rsidRPr="00160094">
        <w:t>DCE : Document complémentaire élèves</w:t>
      </w:r>
    </w:p>
    <w:p w:rsidR="00D469C7" w:rsidRPr="00F40B85" w:rsidRDefault="00D469C7" w:rsidP="002F292F">
      <w:r w:rsidRPr="00160094">
        <w:t>GE : Guide enseignant</w:t>
      </w:r>
      <w:r w:rsidRPr="00F40B85">
        <w:t xml:space="preserve"> </w:t>
      </w:r>
    </w:p>
    <w:p w:rsidR="00D469C7" w:rsidRPr="006F32CB" w:rsidRDefault="00D469C7" w:rsidP="002F292F">
      <w:pPr>
        <w:pStyle w:val="Titre2"/>
      </w:pPr>
      <w:r w:rsidRPr="006F32CB">
        <w:t>Introduction</w:t>
      </w:r>
    </w:p>
    <w:p w:rsidR="00D469C7" w:rsidRPr="002F292F" w:rsidRDefault="00D469C7" w:rsidP="002F292F">
      <w:pPr>
        <w:pStyle w:val="Paragraphedeliste"/>
        <w:numPr>
          <w:ilvl w:val="0"/>
          <w:numId w:val="2"/>
        </w:numPr>
        <w:rPr>
          <w:rFonts w:ascii="Arial" w:hAnsi="Arial" w:cs="Arial"/>
        </w:rPr>
      </w:pPr>
      <w:r w:rsidRPr="002F292F">
        <w:rPr>
          <w:rFonts w:ascii="Arial" w:hAnsi="Arial" w:cs="Arial"/>
        </w:rPr>
        <w:t>Commencer par expliquer aux élèves que les microbes peuvent se transmettre de nombreuses façons différentes. Leur demander d’en citer : par le toucher, les aérosols, les animaux, les aliments et l’eau contaminés. Insister auprès des élèves sur le fait qu’un autre mode de transmission repose sur l’échange de liquides corporels, par exemple par les rapports sexuels non protégés (c’est-à-dire sans préservatif).</w:t>
      </w:r>
    </w:p>
    <w:p w:rsidR="00D469C7" w:rsidRPr="002F292F" w:rsidRDefault="00D469C7" w:rsidP="002F292F">
      <w:pPr>
        <w:pStyle w:val="Paragraphedeliste"/>
        <w:rPr>
          <w:rFonts w:ascii="Arial" w:hAnsi="Arial" w:cs="Arial"/>
        </w:rPr>
      </w:pPr>
    </w:p>
    <w:p w:rsidR="00D469C7" w:rsidRPr="002F292F" w:rsidRDefault="00D469C7" w:rsidP="002F292F">
      <w:pPr>
        <w:pStyle w:val="Paragraphedeliste"/>
        <w:numPr>
          <w:ilvl w:val="0"/>
          <w:numId w:val="2"/>
        </w:numPr>
        <w:rPr>
          <w:rFonts w:ascii="Arial" w:hAnsi="Arial" w:cs="Arial"/>
        </w:rPr>
      </w:pPr>
      <w:r w:rsidRPr="002F292F">
        <w:rPr>
          <w:rFonts w:ascii="Arial" w:hAnsi="Arial" w:cs="Arial"/>
        </w:rPr>
        <w:t>Pour éviter que les élèves ne se mettent à ricaner ou que le sujet les intimide, leur demander s’ils ont entendu parler des Infections Sexuellement Transmissibles (I.S.T) et s’ils savent à quoi elles sont dues. Une présentation PowerPoint accessible sur le site e-Bug</w:t>
      </w:r>
      <w:r w:rsidRPr="002F292F">
        <w:rPr>
          <w:rStyle w:val="Lienhypertexte"/>
          <w:rFonts w:ascii="Arial" w:hAnsi="Arial" w:cs="Arial"/>
        </w:rPr>
        <w:t xml:space="preserve"> </w:t>
      </w:r>
      <w:r w:rsidRPr="002F292F">
        <w:rPr>
          <w:rFonts w:ascii="Arial" w:hAnsi="Arial" w:cs="Arial"/>
        </w:rPr>
        <w:t>décrit certaines infections parmi les plus répandues. Ceci peut être utilisé comme document à distribuer à la classe ou en vidéo-projection, ou bien sur tableau interactif.</w:t>
      </w:r>
    </w:p>
    <w:p w:rsidR="00D469C7" w:rsidRPr="002F292F" w:rsidRDefault="00D469C7" w:rsidP="002F292F">
      <w:pPr>
        <w:pStyle w:val="Paragraphedeliste"/>
        <w:rPr>
          <w:rFonts w:ascii="Arial" w:hAnsi="Arial" w:cs="Arial"/>
        </w:rPr>
      </w:pPr>
    </w:p>
    <w:p w:rsidR="00D469C7" w:rsidRPr="002F292F" w:rsidRDefault="00D469C7" w:rsidP="002F292F">
      <w:pPr>
        <w:pStyle w:val="Paragraphedeliste"/>
        <w:numPr>
          <w:ilvl w:val="0"/>
          <w:numId w:val="2"/>
        </w:numPr>
        <w:rPr>
          <w:rFonts w:ascii="Arial" w:hAnsi="Arial" w:cs="Arial"/>
        </w:rPr>
      </w:pPr>
      <w:r w:rsidRPr="002F292F">
        <w:rPr>
          <w:rFonts w:ascii="Arial" w:hAnsi="Arial" w:cs="Arial"/>
        </w:rPr>
        <w:t>Expliquer que les I.S.T sont généralement transmises d’une personne à une autre par des rapports sexuels non protégés, bien que ces mêmes infections puissent aussi se transmettre lors d’un partage d’aiguilles contaminées, d’un contact cutané, ou de la mère à son enfant avant la naissance, lors de l’accouchement ou par le lait maternel. Cela est dû au fait que certaines I.S.T sont transportées par le sang (ce liquide corporel est donc également capable de transmettre l’infection).</w:t>
      </w:r>
    </w:p>
    <w:p w:rsidR="00D469C7" w:rsidRPr="002F292F" w:rsidRDefault="00D469C7" w:rsidP="002F292F">
      <w:pPr>
        <w:pStyle w:val="Paragraphedeliste"/>
        <w:rPr>
          <w:rFonts w:ascii="Arial" w:hAnsi="Arial" w:cs="Arial"/>
        </w:rPr>
      </w:pPr>
    </w:p>
    <w:p w:rsidR="00D469C7" w:rsidRPr="002F292F" w:rsidRDefault="00D469C7" w:rsidP="002F292F">
      <w:pPr>
        <w:pStyle w:val="Paragraphedeliste"/>
        <w:numPr>
          <w:ilvl w:val="0"/>
          <w:numId w:val="2"/>
        </w:numPr>
        <w:rPr>
          <w:rFonts w:ascii="Arial" w:hAnsi="Arial" w:cs="Arial"/>
        </w:rPr>
      </w:pPr>
      <w:r w:rsidRPr="002F292F">
        <w:rPr>
          <w:rFonts w:ascii="Arial" w:hAnsi="Arial" w:cs="Arial"/>
        </w:rPr>
        <w:t>Insister sur le fait que les méthodes contraceptives sans barrière physique, telles que la pilule, ne protègent pas contre les I.S.T.</w:t>
      </w:r>
    </w:p>
    <w:p w:rsidR="00D469C7" w:rsidRPr="00AA631C" w:rsidRDefault="00D469C7" w:rsidP="002F292F">
      <w:pPr>
        <w:pStyle w:val="Paragraphedeliste"/>
      </w:pPr>
    </w:p>
    <w:p w:rsidR="00D469C7" w:rsidRPr="00AA631C" w:rsidRDefault="00D469C7" w:rsidP="002F292F"/>
    <w:p w:rsidR="00D469C7" w:rsidRPr="006F32CB" w:rsidRDefault="00D469C7" w:rsidP="002F292F">
      <w:pPr>
        <w:pStyle w:val="Titre2"/>
      </w:pPr>
      <w:r w:rsidRPr="006F32CB">
        <w:rPr>
          <w:noProof/>
          <w:color w:val="000000"/>
          <w:szCs w:val="24"/>
          <w:lang w:eastAsia="fr-FR"/>
        </w:rPr>
        <w:lastRenderedPageBreak/>
        <w:drawing>
          <wp:anchor distT="0" distB="0" distL="114300" distR="114300" simplePos="0" relativeHeight="251662336" behindDoc="0" locked="0" layoutInCell="1" allowOverlap="1" wp14:anchorId="782680A6" wp14:editId="78225A82">
            <wp:simplePos x="0" y="0"/>
            <wp:positionH relativeFrom="margin">
              <wp:posOffset>6272530</wp:posOffset>
            </wp:positionH>
            <wp:positionV relativeFrom="paragraph">
              <wp:posOffset>0</wp:posOffset>
            </wp:positionV>
            <wp:extent cx="774065" cy="694690"/>
            <wp:effectExtent l="0" t="0" r="6985" b="0"/>
            <wp:wrapSquare wrapText="bothSides"/>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r w:rsidRPr="006F32CB">
        <w:rPr>
          <w:noProof/>
          <w:lang w:eastAsia="fr-FR"/>
        </w:rPr>
        <mc:AlternateContent>
          <mc:Choice Requires="wps">
            <w:drawing>
              <wp:anchor distT="0" distB="0" distL="114300" distR="114300" simplePos="0" relativeHeight="251661312" behindDoc="1" locked="0" layoutInCell="1" allowOverlap="1" wp14:anchorId="58F73751" wp14:editId="1F1215A4">
                <wp:simplePos x="0" y="0"/>
                <wp:positionH relativeFrom="margin">
                  <wp:posOffset>-200025</wp:posOffset>
                </wp:positionH>
                <wp:positionV relativeFrom="paragraph">
                  <wp:posOffset>-130175</wp:posOffset>
                </wp:positionV>
                <wp:extent cx="7038975" cy="9572625"/>
                <wp:effectExtent l="19050" t="19050" r="28575" b="28575"/>
                <wp:wrapNone/>
                <wp:docPr id="1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726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6524A" id="Rectangle 2" o:spid="_x0000_s1026" style="position:absolute;margin-left:-15.75pt;margin-top:-10.25pt;width:554.25pt;height:75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l/vAIAAIs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" filled="f" strokecolor="#1f396c" strokeweight="2.25pt">
                <v:path arrowok="t"/>
                <w10:wrap anchorx="margin"/>
              </v:rect>
            </w:pict>
          </mc:Fallback>
        </mc:AlternateContent>
      </w:r>
      <w:r w:rsidRPr="006F32CB">
        <w:t>Activité</w:t>
      </w:r>
      <w:r w:rsidRPr="006F32CB">
        <w:rPr>
          <w:sz w:val="24"/>
          <w:szCs w:val="24"/>
        </w:rPr>
        <w:t xml:space="preserve"> </w:t>
      </w:r>
      <w:r w:rsidRPr="006F32CB">
        <w:t>principale</w:t>
      </w:r>
    </w:p>
    <w:p w:rsidR="00D469C7" w:rsidRDefault="00D469C7" w:rsidP="002F292F">
      <w:r w:rsidRPr="006F32CB">
        <w:t>Cette activité sera réalisée comme un exercice en classe. Le déroulement de l’activité se fait dans un ordre avant tout pratique, sans tenir compte de la hiérarchisation des solutions à adopter</w:t>
      </w:r>
      <w:r>
        <w:t>.</w:t>
      </w:r>
    </w:p>
    <w:p w:rsidR="00D469C7" w:rsidRPr="002F5FA0" w:rsidRDefault="00D469C7" w:rsidP="002F292F">
      <w:r>
        <w:t>Les élèves vont simuler un échange de liquides corporels, par exemple un contact sexuel, dans différentes conditions.</w:t>
      </w:r>
    </w:p>
    <w:p w:rsidR="00D469C7" w:rsidRDefault="00D469C7" w:rsidP="002F292F">
      <w:pPr>
        <w:pStyle w:val="Titre2"/>
      </w:pPr>
      <w:r>
        <w:t>Activités complémentaires</w:t>
      </w:r>
    </w:p>
    <w:p w:rsidR="00D469C7" w:rsidRDefault="00D469C7" w:rsidP="002F292F">
      <w:r>
        <w:t xml:space="preserve">Les élèves peuvent réaliser des posters reprenant l’ensemble des notions apprises. </w:t>
      </w:r>
    </w:p>
    <w:p w:rsidR="000D338D" w:rsidRPr="00D469C7" w:rsidRDefault="00D469C7" w:rsidP="002F292F">
      <w:r>
        <w:t>Des bandes dessinées permettent la réflexion et de discuter sur le comportement favorable à la santé à adopter dans certaines situations.</w:t>
      </w:r>
    </w:p>
    <w:sectPr w:rsidR="000D338D" w:rsidRPr="00D469C7" w:rsidSect="002F292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658" w:rsidRDefault="00F45658" w:rsidP="002F292F">
      <w:pPr>
        <w:spacing w:after="0" w:line="240" w:lineRule="auto"/>
      </w:pPr>
      <w:r>
        <w:separator/>
      </w:r>
    </w:p>
  </w:endnote>
  <w:endnote w:type="continuationSeparator" w:id="0">
    <w:p w:rsidR="00F45658" w:rsidRDefault="00F45658" w:rsidP="002F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2F" w:rsidRDefault="002F292F">
    <w:pPr>
      <w:pStyle w:val="Pieddepage"/>
    </w:pPr>
    <w:r>
      <w:t>Transmission sexuelle</w:t>
    </w:r>
    <w:r w:rsidRPr="006F32CB">
      <w:t xml:space="preserve"> </w:t>
    </w:r>
    <w:r>
      <w:t>–</w:t>
    </w:r>
    <w:r w:rsidRPr="006F32CB">
      <w:t xml:space="preserve"> </w:t>
    </w:r>
    <w:r>
      <w:t>Âge : 13-19 ans</w:t>
    </w:r>
    <w:r>
      <w:tab/>
    </w:r>
    <w:r w:rsidRPr="006F32CB">
      <w:tab/>
    </w:r>
    <w:r w:rsidRPr="006F32CB">
      <w:tab/>
    </w:r>
    <w:r w:rsidRPr="006F32CB">
      <w:tab/>
    </w:r>
    <w:r w:rsidRPr="006F32CB">
      <w:fldChar w:fldCharType="begin"/>
    </w:r>
    <w:r w:rsidRPr="006F32CB">
      <w:instrText>PAGE   \* MERGEFORMAT</w:instrText>
    </w:r>
    <w:r w:rsidRPr="006F32CB">
      <w:fldChar w:fldCharType="separate"/>
    </w:r>
    <w:r>
      <w:t>5</w:t>
    </w:r>
    <w:r w:rsidRPr="006F32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658" w:rsidRDefault="00F45658" w:rsidP="002F292F">
      <w:pPr>
        <w:spacing w:after="0" w:line="240" w:lineRule="auto"/>
      </w:pPr>
      <w:r>
        <w:separator/>
      </w:r>
    </w:p>
  </w:footnote>
  <w:footnote w:type="continuationSeparator" w:id="0">
    <w:p w:rsidR="00F45658" w:rsidRDefault="00F45658" w:rsidP="002F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0026B61"/>
    <w:multiLevelType w:val="hybridMultilevel"/>
    <w:tmpl w:val="4838E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6039DD"/>
    <w:multiLevelType w:val="hybridMultilevel"/>
    <w:tmpl w:val="270098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C7"/>
    <w:rsid w:val="002F292F"/>
    <w:rsid w:val="00370796"/>
    <w:rsid w:val="0061151D"/>
    <w:rsid w:val="00C80E3A"/>
    <w:rsid w:val="00D469C7"/>
    <w:rsid w:val="00DE3DFB"/>
    <w:rsid w:val="00F456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FE532-6563-4082-BAFA-AC10845A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92F"/>
    <w:rPr>
      <w:rFonts w:ascii="Arial" w:hAnsi="Arial" w:cs="Arial"/>
      <w:sz w:val="24"/>
      <w:szCs w:val="24"/>
    </w:rPr>
  </w:style>
  <w:style w:type="paragraph" w:styleId="Titre1">
    <w:name w:val="heading 1"/>
    <w:basedOn w:val="Normal"/>
    <w:next w:val="Normal"/>
    <w:link w:val="Titre1Car"/>
    <w:uiPriority w:val="9"/>
    <w:qFormat/>
    <w:rsid w:val="00D469C7"/>
    <w:pPr>
      <w:spacing w:after="0" w:line="276" w:lineRule="auto"/>
      <w:jc w:val="center"/>
      <w:outlineLvl w:val="0"/>
    </w:pPr>
    <w:rPr>
      <w:rFonts w:eastAsia="Calibri"/>
      <w:b/>
      <w:sz w:val="44"/>
      <w:szCs w:val="44"/>
    </w:rPr>
  </w:style>
  <w:style w:type="paragraph" w:styleId="Titre2">
    <w:name w:val="heading 2"/>
    <w:basedOn w:val="Normal"/>
    <w:next w:val="Normal"/>
    <w:link w:val="Titre2Car"/>
    <w:uiPriority w:val="9"/>
    <w:unhideWhenUsed/>
    <w:qFormat/>
    <w:rsid w:val="00D469C7"/>
    <w:pPr>
      <w:keepNext/>
      <w:spacing w:before="240" w:after="60" w:line="276" w:lineRule="auto"/>
      <w:outlineLvl w:val="1"/>
    </w:pPr>
    <w:rPr>
      <w:rFonts w:eastAsia="Times New Roman" w:cs="Times New Roman"/>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9C7"/>
    <w:rPr>
      <w:rFonts w:ascii="Arial" w:eastAsia="Calibri" w:hAnsi="Arial" w:cs="Arial"/>
      <w:b/>
      <w:sz w:val="44"/>
      <w:szCs w:val="44"/>
    </w:rPr>
  </w:style>
  <w:style w:type="character" w:customStyle="1" w:styleId="Titre2Car">
    <w:name w:val="Titre 2 Car"/>
    <w:basedOn w:val="Policepardfaut"/>
    <w:link w:val="Titre2"/>
    <w:uiPriority w:val="9"/>
    <w:rsid w:val="00D469C7"/>
    <w:rPr>
      <w:rFonts w:ascii="Arial" w:eastAsia="Times New Roman" w:hAnsi="Arial" w:cs="Times New Roman"/>
      <w:b/>
      <w:bCs/>
      <w:iCs/>
      <w:sz w:val="28"/>
      <w:szCs w:val="28"/>
    </w:rPr>
  </w:style>
  <w:style w:type="paragraph" w:styleId="Paragraphedeliste">
    <w:name w:val="List Paragraph"/>
    <w:basedOn w:val="Normal"/>
    <w:uiPriority w:val="34"/>
    <w:qFormat/>
    <w:rsid w:val="00D469C7"/>
    <w:pPr>
      <w:spacing w:after="200" w:line="276" w:lineRule="auto"/>
      <w:ind w:left="720"/>
      <w:contextualSpacing/>
    </w:pPr>
    <w:rPr>
      <w:rFonts w:ascii="Calibri" w:eastAsia="Calibri" w:hAnsi="Calibri" w:cs="Times New Roman"/>
    </w:rPr>
  </w:style>
  <w:style w:type="character" w:styleId="Lienhypertexte">
    <w:name w:val="Hyperlink"/>
    <w:rsid w:val="00D469C7"/>
    <w:rPr>
      <w:color w:val="0000FF"/>
      <w:u w:val="single"/>
    </w:rPr>
  </w:style>
  <w:style w:type="paragraph" w:styleId="En-tte">
    <w:name w:val="header"/>
    <w:basedOn w:val="Normal"/>
    <w:link w:val="En-tteCar"/>
    <w:uiPriority w:val="99"/>
    <w:unhideWhenUsed/>
    <w:rsid w:val="002F292F"/>
    <w:pPr>
      <w:tabs>
        <w:tab w:val="center" w:pos="4536"/>
        <w:tab w:val="right" w:pos="9072"/>
      </w:tabs>
      <w:spacing w:after="0" w:line="240" w:lineRule="auto"/>
    </w:pPr>
  </w:style>
  <w:style w:type="character" w:customStyle="1" w:styleId="En-tteCar">
    <w:name w:val="En-tête Car"/>
    <w:basedOn w:val="Policepardfaut"/>
    <w:link w:val="En-tte"/>
    <w:uiPriority w:val="99"/>
    <w:rsid w:val="002F292F"/>
    <w:rPr>
      <w:rFonts w:ascii="Arial" w:hAnsi="Arial" w:cs="Arial"/>
      <w:sz w:val="24"/>
      <w:szCs w:val="24"/>
    </w:rPr>
  </w:style>
  <w:style w:type="paragraph" w:styleId="Pieddepage">
    <w:name w:val="footer"/>
    <w:basedOn w:val="Normal"/>
    <w:link w:val="PieddepageCar"/>
    <w:uiPriority w:val="99"/>
    <w:unhideWhenUsed/>
    <w:rsid w:val="002F29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92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2090</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3</cp:revision>
  <dcterms:created xsi:type="dcterms:W3CDTF">2025-12-23T14:44:00Z</dcterms:created>
  <dcterms:modified xsi:type="dcterms:W3CDTF">2025-12-23T15:01:00Z</dcterms:modified>
</cp:coreProperties>
</file>