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3D02" w14:textId="0A8EE104" w:rsidR="00FD7FCB" w:rsidRPr="00FD7FCB" w:rsidRDefault="00FD7FCB" w:rsidP="00FD7FCB">
      <w:pPr>
        <w:pStyle w:val="Heading1"/>
        <w:spacing w:before="0" w:after="0" w:line="240" w:lineRule="auto"/>
        <w:ind w:left="-851"/>
        <w:jc w:val="center"/>
        <w:rPr>
          <w:rFonts w:ascii="Arial" w:hAnsi="Arial" w:cs="Arial"/>
          <w:b/>
          <w:bCs/>
          <w:color w:val="auto"/>
        </w:rPr>
      </w:pPr>
      <w:r w:rsidRPr="0075655A">
        <w:rPr>
          <w:noProof/>
          <w:sz w:val="36"/>
          <w:szCs w:val="36"/>
          <w:lang w:eastAsia="fr-FR"/>
        </w:rPr>
        <w:drawing>
          <wp:anchor distT="0" distB="0" distL="114300" distR="114300" simplePos="0" relativeHeight="251663360" behindDoc="0" locked="0" layoutInCell="1" allowOverlap="1" wp14:anchorId="1B44F595" wp14:editId="799D2E8D">
            <wp:simplePos x="0" y="0"/>
            <wp:positionH relativeFrom="column">
              <wp:posOffset>5474335</wp:posOffset>
            </wp:positionH>
            <wp:positionV relativeFrom="paragraph">
              <wp:posOffset>17</wp:posOffset>
            </wp:positionV>
            <wp:extent cx="800100" cy="81915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Pr>
          <w:noProof/>
          <w:lang w:eastAsia="fr-FR"/>
        </w:rPr>
        <mc:AlternateContent>
          <mc:Choice Requires="wps">
            <w:drawing>
              <wp:anchor distT="0" distB="0" distL="114300" distR="114300" simplePos="0" relativeHeight="251661312" behindDoc="1" locked="0" layoutInCell="1" allowOverlap="1" wp14:anchorId="435BD586" wp14:editId="7E476AD5">
                <wp:simplePos x="0" y="0"/>
                <wp:positionH relativeFrom="margin">
                  <wp:align>center</wp:align>
                </wp:positionH>
                <wp:positionV relativeFrom="paragraph">
                  <wp:posOffset>-288034</wp:posOffset>
                </wp:positionV>
                <wp:extent cx="7038975" cy="9591675"/>
                <wp:effectExtent l="19050" t="19050" r="28575" b="28575"/>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91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E4C97" id="Rectangle 2" o:spid="_x0000_s1026" alt="&quot;&quot;" style="position:absolute;margin-left:0;margin-top:-22.7pt;width:554.25pt;height:75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" filled="f" strokecolor="#1f396c" strokeweight="2.25pt">
                <v:path arrowok="t"/>
                <w10:wrap anchorx="margin"/>
              </v:rect>
            </w:pict>
          </mc:Fallback>
        </mc:AlternateContent>
      </w:r>
    </w:p>
    <w:p w14:paraId="60175C74" w14:textId="6BB60E8C" w:rsidR="00FD7FCB" w:rsidRPr="00FD7FCB" w:rsidRDefault="00FD7FCB" w:rsidP="00FD7FCB">
      <w:pPr>
        <w:pStyle w:val="Heading1"/>
        <w:spacing w:before="0" w:after="0" w:line="240" w:lineRule="auto"/>
        <w:ind w:left="-851"/>
        <w:jc w:val="center"/>
        <w:rPr>
          <w:rFonts w:ascii="Arial" w:hAnsi="Arial" w:cs="Arial"/>
          <w:b/>
          <w:bCs/>
          <w:color w:val="auto"/>
        </w:rPr>
      </w:pPr>
      <w:r w:rsidRPr="00FD7FCB">
        <w:rPr>
          <w:rFonts w:ascii="Arial" w:hAnsi="Arial" w:cs="Arial"/>
          <w:b/>
          <w:bCs/>
          <w:color w:val="auto"/>
        </w:rPr>
        <w:t>Vaccination HPV</w:t>
      </w:r>
    </w:p>
    <w:p w14:paraId="7B42A91A" w14:textId="1FB8AB43" w:rsidR="00FD7FCB" w:rsidRPr="00FD7FCB" w:rsidRDefault="00FD7FCB" w:rsidP="00FD7FCB">
      <w:pPr>
        <w:pStyle w:val="Heading1"/>
        <w:spacing w:before="0" w:after="0" w:line="240" w:lineRule="auto"/>
        <w:ind w:left="-851"/>
        <w:jc w:val="center"/>
        <w:rPr>
          <w:rFonts w:ascii="Arial" w:hAnsi="Arial" w:cs="Arial"/>
          <w:b/>
          <w:bCs/>
          <w:color w:val="auto"/>
          <w:sz w:val="36"/>
          <w:szCs w:val="36"/>
        </w:rPr>
      </w:pPr>
      <w:r w:rsidRPr="00FD7FCB">
        <w:rPr>
          <w:rFonts w:ascii="Arial" w:hAnsi="Arial" w:cs="Arial"/>
          <w:b/>
          <w:bCs/>
          <w:color w:val="auto"/>
          <w:sz w:val="36"/>
          <w:szCs w:val="36"/>
        </w:rPr>
        <w:t>Scénarios d’efficacité vaccinale – Guide enseignant 1 (GE1)</w:t>
      </w:r>
      <w:r w:rsidRPr="00FD7FCB">
        <w:rPr>
          <w:noProof/>
          <w:sz w:val="36"/>
          <w:szCs w:val="36"/>
          <w:lang w:eastAsia="fr-FR"/>
        </w:rPr>
        <w:t xml:space="preserve"> </w:t>
      </w:r>
    </w:p>
    <w:p w14:paraId="475E37EA" w14:textId="77777777" w:rsidR="00FD7FCB" w:rsidRPr="00FD7FCB" w:rsidRDefault="00FD7FCB" w:rsidP="00FD7FCB">
      <w:pPr>
        <w:spacing w:after="0" w:line="240" w:lineRule="auto"/>
        <w:ind w:left="-851"/>
        <w:rPr>
          <w:rFonts w:cs="Arial"/>
        </w:rPr>
      </w:pPr>
    </w:p>
    <w:p w14:paraId="0493F463" w14:textId="77777777" w:rsidR="00FD7FCB" w:rsidRPr="00FD7FCB" w:rsidRDefault="00FD7FCB" w:rsidP="00FD7FCB">
      <w:pPr>
        <w:spacing w:after="0" w:line="240" w:lineRule="auto"/>
        <w:ind w:left="-851"/>
        <w:rPr>
          <w:rFonts w:cs="Arial"/>
        </w:rPr>
      </w:pPr>
    </w:p>
    <w:p w14:paraId="3B132E6A" w14:textId="77777777" w:rsidR="00FD7FCB" w:rsidRPr="00FD7FCB" w:rsidRDefault="00FD7FCB" w:rsidP="00FD7FCB">
      <w:pPr>
        <w:spacing w:after="0" w:line="240" w:lineRule="auto"/>
        <w:ind w:left="-851"/>
        <w:rPr>
          <w:rFonts w:cs="Arial"/>
        </w:rPr>
      </w:pPr>
      <w:r w:rsidRPr="00FD7FCB">
        <w:rPr>
          <w:rFonts w:cs="Arial"/>
        </w:rPr>
        <w:t>Cette activité propose à l’élève de comparer 2 populations, une vaccinée contre les HPV et l’autre non</w:t>
      </w:r>
    </w:p>
    <w:p w14:paraId="69E8780A" w14:textId="77777777" w:rsidR="00FD7FCB" w:rsidRPr="00FD7FCB" w:rsidRDefault="00FD7FCB" w:rsidP="00FD7FCB">
      <w:pPr>
        <w:spacing w:after="0" w:line="240" w:lineRule="auto"/>
        <w:ind w:left="-851"/>
        <w:rPr>
          <w:rFonts w:cs="Arial"/>
        </w:rPr>
      </w:pPr>
      <w:r w:rsidRPr="00FD7FCB">
        <w:rPr>
          <w:rFonts w:cs="Arial"/>
        </w:rPr>
        <w:t>La comparaison des deux scénarios met en évidence de façon positive l’efficacité de la vaccination sur une population et permet d’argumenter les comportements responsables en matière de santé. Il est important d’expliquer la plus-value de la protection de groupe, d’insister sur la limitation des risques à l’échelle collective par une application de mesures à l’échelle individuelle.</w:t>
      </w:r>
    </w:p>
    <w:p w14:paraId="1652082E" w14:textId="77777777" w:rsidR="00FD7FCB" w:rsidRPr="00FD7FCB" w:rsidRDefault="00FD7FCB" w:rsidP="00FD7FCB">
      <w:pPr>
        <w:spacing w:after="0" w:line="240" w:lineRule="auto"/>
        <w:ind w:left="-851"/>
        <w:rPr>
          <w:rFonts w:cs="Arial"/>
        </w:rPr>
      </w:pPr>
      <w:r w:rsidRPr="00FD7FCB">
        <w:rPr>
          <w:rFonts w:cs="Arial"/>
        </w:rPr>
        <w:t>De plus, cette activité favorise la prise de conscience des conséquences à court et à long terme d’une infection par les HPV.</w:t>
      </w:r>
    </w:p>
    <w:p w14:paraId="64107971" w14:textId="77777777" w:rsidR="00FD7FCB" w:rsidRPr="00FD7FCB" w:rsidRDefault="00FD7FCB" w:rsidP="00FD7FCB">
      <w:pPr>
        <w:spacing w:after="0" w:line="240" w:lineRule="auto"/>
        <w:ind w:left="-851"/>
        <w:rPr>
          <w:rFonts w:cs="Arial"/>
        </w:rPr>
      </w:pPr>
      <w:r w:rsidRPr="00FD7FCB">
        <w:rPr>
          <w:rFonts w:cs="Arial"/>
        </w:rPr>
        <w:t>Pour rappel :</w:t>
      </w:r>
    </w:p>
    <w:p w14:paraId="670FCEBF" w14:textId="77777777" w:rsidR="00FD7FCB" w:rsidRPr="00FD7FCB" w:rsidRDefault="00FD7FCB" w:rsidP="00FD7FCB">
      <w:pPr>
        <w:spacing w:after="0" w:line="240" w:lineRule="auto"/>
        <w:ind w:left="-851"/>
        <w:rPr>
          <w:rFonts w:cs="Arial"/>
        </w:rPr>
      </w:pPr>
      <w:r w:rsidRPr="00FD7FCB">
        <w:rPr>
          <w:rFonts w:cs="Arial"/>
        </w:rPr>
        <w:t>Une contamination se produit lorsque des micro-organismes pénètrent dans le corps par une voie d’entrée naturelle (par exemple les voies respiratoires) ou par une blessure.</w:t>
      </w:r>
    </w:p>
    <w:p w14:paraId="647B6866" w14:textId="77777777" w:rsidR="00FD7FCB" w:rsidRPr="00FD7FCB" w:rsidRDefault="00FD7FCB" w:rsidP="00FD7FCB">
      <w:pPr>
        <w:spacing w:after="0" w:line="240" w:lineRule="auto"/>
        <w:ind w:left="-851"/>
        <w:rPr>
          <w:rFonts w:cs="Arial"/>
          <w:strike/>
        </w:rPr>
      </w:pPr>
      <w:r w:rsidRPr="00FD7FCB">
        <w:rPr>
          <w:rFonts w:cs="Arial"/>
        </w:rPr>
        <w:t>L’infection est une maladie causée par la présence de microbes dans l'organisme, ces microbes peuvent être des bactéries, des virus, des champignons, des parasites</w:t>
      </w:r>
    </w:p>
    <w:p w14:paraId="6D610A49" w14:textId="77777777" w:rsidR="00FD7FCB" w:rsidRPr="00FD7FCB" w:rsidRDefault="00FD7FCB" w:rsidP="00FD7FCB">
      <w:pPr>
        <w:pStyle w:val="CommentText"/>
        <w:ind w:left="-851"/>
        <w:rPr>
          <w:rFonts w:ascii="Arial" w:hAnsi="Arial" w:cs="Arial"/>
        </w:rPr>
      </w:pPr>
      <w:r w:rsidRPr="00FD7FCB">
        <w:rPr>
          <w:rFonts w:ascii="Arial" w:hAnsi="Arial" w:cs="Arial"/>
        </w:rPr>
        <w:t>Deux difficultés peuvent se présenter : la complexité du vocabulaire utilisé et la nécessité de réaliser des calculs de pourcentage difficiles à effectuer si l’élève ne comprend pas clairement l’objectif ou la finalité de ces calculs. Les réponses attendues aux différents formats de l’exercice sont disponibles dans le GE1bis</w:t>
      </w:r>
    </w:p>
    <w:p w14:paraId="3ED48EAD" w14:textId="77777777" w:rsidR="00FD7FCB" w:rsidRPr="00FD7FCB" w:rsidRDefault="00FD7FCB" w:rsidP="00FD7FCB">
      <w:pPr>
        <w:pStyle w:val="CommentText"/>
        <w:ind w:left="-851"/>
        <w:rPr>
          <w:rFonts w:ascii="Arial" w:hAnsi="Arial" w:cs="Arial"/>
        </w:rPr>
      </w:pPr>
    </w:p>
    <w:p w14:paraId="7B725BEF" w14:textId="77777777" w:rsidR="00FD7FCB" w:rsidRPr="00FD7FCB" w:rsidRDefault="00FD7FCB" w:rsidP="00FD7FCB">
      <w:pPr>
        <w:pStyle w:val="Heading2"/>
        <w:spacing w:before="0" w:after="0" w:line="240" w:lineRule="auto"/>
        <w:ind w:left="-851"/>
        <w:rPr>
          <w:rFonts w:ascii="Arial" w:hAnsi="Arial" w:cs="Arial"/>
          <w:b/>
          <w:bCs/>
          <w:color w:val="auto"/>
        </w:rPr>
      </w:pPr>
      <w:r w:rsidRPr="00FD7FCB">
        <w:rPr>
          <w:rFonts w:ascii="Arial" w:hAnsi="Arial" w:cs="Arial"/>
          <w:b/>
          <w:bCs/>
          <w:color w:val="auto"/>
        </w:rPr>
        <w:t>Document à distribuer aux élèves</w:t>
      </w:r>
    </w:p>
    <w:p w14:paraId="6D3DDEE6" w14:textId="77777777" w:rsidR="00FD7FCB" w:rsidRPr="00FD7FCB" w:rsidRDefault="00FD7FCB" w:rsidP="00FD7FCB">
      <w:pPr>
        <w:spacing w:after="0" w:line="240" w:lineRule="auto"/>
        <w:ind w:left="-851"/>
        <w:rPr>
          <w:rFonts w:cs="Arial"/>
        </w:rPr>
      </w:pPr>
      <w:r w:rsidRPr="00FD7FCB">
        <w:rPr>
          <w:rFonts w:cs="Arial"/>
        </w:rPr>
        <w:t>Le DTE1 donne une consigne globale pour l’activité avec quelques pistes pour guider l’élève.</w:t>
      </w:r>
    </w:p>
    <w:p w14:paraId="799D2027" w14:textId="77777777" w:rsidR="00FD7FCB" w:rsidRPr="00FD7FCB" w:rsidRDefault="00FD7FCB" w:rsidP="00FD7FCB">
      <w:pPr>
        <w:spacing w:after="0" w:line="240" w:lineRule="auto"/>
        <w:ind w:left="-851"/>
        <w:rPr>
          <w:rFonts w:cs="Arial"/>
        </w:rPr>
      </w:pPr>
      <w:r w:rsidRPr="00FD7FCB">
        <w:rPr>
          <w:rFonts w:cs="Arial"/>
        </w:rPr>
        <w:t xml:space="preserve">Des aides sont disponibles après la consigne pour offrir des pistes de différenciation pédagogique. Ce sont des coups de pouce à distribuer aux élèves en fonction des difficultés identifiées : comparer les valeurs dans un tableau, formuler une conclusion ou visualiser les effets de l’efficacité vaccinale sur une population de 100 personnes. </w:t>
      </w:r>
    </w:p>
    <w:p w14:paraId="1BE76916" w14:textId="5A554110" w:rsidR="00FD7FCB" w:rsidRDefault="00FD7FCB" w:rsidP="00FD7FCB">
      <w:pPr>
        <w:spacing w:after="160" w:line="278" w:lineRule="auto"/>
        <w:ind w:left="-851"/>
        <w:rPr>
          <w:rFonts w:eastAsiaTheme="majorEastAsia" w:cs="Arial"/>
          <w:sz w:val="32"/>
          <w:szCs w:val="32"/>
        </w:rPr>
      </w:pPr>
      <w:r>
        <w:rPr>
          <w:rFonts w:cs="Arial"/>
        </w:rPr>
        <w:br w:type="page"/>
      </w:r>
    </w:p>
    <w:p w14:paraId="6C37B0A3" w14:textId="64C78C1F" w:rsidR="00FD7FCB" w:rsidRPr="00FD7FCB" w:rsidRDefault="00FD7FCB" w:rsidP="00FD7FCB">
      <w:pPr>
        <w:spacing w:after="0" w:line="240" w:lineRule="auto"/>
        <w:rPr>
          <w:rFonts w:cs="Arial"/>
        </w:rPr>
      </w:pPr>
      <w:r w:rsidRPr="00FD7FCB">
        <w:rPr>
          <w:rFonts w:cs="Arial"/>
          <w:noProof/>
          <w:lang w:eastAsia="fr-FR"/>
        </w:rPr>
        <w:lastRenderedPageBreak/>
        <mc:AlternateContent>
          <mc:Choice Requires="wps">
            <w:drawing>
              <wp:anchor distT="0" distB="0" distL="114300" distR="114300" simplePos="0" relativeHeight="251659264" behindDoc="1" locked="0" layoutInCell="1" allowOverlap="1" wp14:anchorId="4B4ED775" wp14:editId="44CFEB36">
                <wp:simplePos x="0" y="0"/>
                <wp:positionH relativeFrom="margin">
                  <wp:posOffset>-729095</wp:posOffset>
                </wp:positionH>
                <wp:positionV relativeFrom="paragraph">
                  <wp:posOffset>-118753</wp:posOffset>
                </wp:positionV>
                <wp:extent cx="7038975" cy="9411813"/>
                <wp:effectExtent l="19050" t="19050" r="28575" b="18415"/>
                <wp:wrapNone/>
                <wp:docPr id="2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11813"/>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4B57" id="Rectangle 2" o:spid="_x0000_s1026" alt="&quot;&quot;" style="position:absolute;margin-left:-57.4pt;margin-top:-9.35pt;width:554.25pt;height:74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" filled="f" strokecolor="#1f396c" strokeweight="2.25pt">
                <v:path arrowok="t"/>
                <w10:wrap anchorx="margin"/>
              </v:rect>
            </w:pict>
          </mc:Fallback>
        </mc:AlternateContent>
      </w:r>
    </w:p>
    <w:p w14:paraId="2F804DFC" w14:textId="1E9F6A8E" w:rsidR="00FD7FCB" w:rsidRPr="00FD7FCB" w:rsidRDefault="00FD7FCB" w:rsidP="00FD7FCB">
      <w:pPr>
        <w:pStyle w:val="Heading2"/>
        <w:spacing w:before="0" w:after="0" w:line="240" w:lineRule="auto"/>
        <w:ind w:left="-709"/>
        <w:rPr>
          <w:rFonts w:ascii="Arial" w:hAnsi="Arial" w:cs="Arial"/>
          <w:b/>
          <w:bCs/>
          <w:color w:val="auto"/>
        </w:rPr>
      </w:pPr>
      <w:r w:rsidRPr="00FD7FCB">
        <w:rPr>
          <w:rFonts w:ascii="Arial" w:hAnsi="Arial" w:cs="Arial"/>
          <w:b/>
          <w:bCs/>
          <w:color w:val="auto"/>
        </w:rPr>
        <w:t xml:space="preserve">Le diaporama </w:t>
      </w:r>
    </w:p>
    <w:p w14:paraId="683C7E42" w14:textId="77777777" w:rsidR="00FD7FCB" w:rsidRPr="00FD7FCB" w:rsidRDefault="00FD7FCB" w:rsidP="00FD7FCB">
      <w:pPr>
        <w:pStyle w:val="CommentText"/>
        <w:ind w:left="-709"/>
        <w:rPr>
          <w:rFonts w:ascii="Arial" w:eastAsia="Arial" w:hAnsi="Arial" w:cs="Arial"/>
        </w:rPr>
      </w:pPr>
      <w:r w:rsidRPr="00FD7FCB">
        <w:rPr>
          <w:rFonts w:ascii="Arial" w:eastAsia="Arial" w:hAnsi="Arial" w:cs="Arial"/>
          <w:szCs w:val="22"/>
          <w:lang w:eastAsia="en-US"/>
        </w:rPr>
        <w:t>Il peut être utilisé comme support visuel pour présenter l’activité et fournir des bilans d’étape. Il offre un apport visuel en permettant de visualiser les pourcentages sur une population de 100 personnes, ce qui facilite la compréhension des élèves. Il peut être plus parlant et contribuer à une meilleure compréhension des données du problème et des calculs à effectuer.</w:t>
      </w:r>
    </w:p>
    <w:p w14:paraId="73C48F47" w14:textId="77777777" w:rsidR="00FD7FCB" w:rsidRPr="00FD7FCB" w:rsidRDefault="00FD7FCB" w:rsidP="00FD7FCB">
      <w:pPr>
        <w:pStyle w:val="Heading2"/>
        <w:spacing w:before="0" w:after="0" w:line="240" w:lineRule="auto"/>
        <w:ind w:left="-709"/>
        <w:rPr>
          <w:rFonts w:ascii="Arial" w:hAnsi="Arial" w:cs="Arial"/>
          <w:b/>
          <w:bCs/>
          <w:color w:val="auto"/>
        </w:rPr>
      </w:pPr>
      <w:r w:rsidRPr="00FD7FCB">
        <w:rPr>
          <w:rFonts w:ascii="Arial" w:hAnsi="Arial" w:cs="Arial"/>
          <w:b/>
          <w:bCs/>
          <w:color w:val="auto"/>
        </w:rPr>
        <w:t>Documents complémentaires</w:t>
      </w:r>
    </w:p>
    <w:p w14:paraId="56B986CF" w14:textId="77777777" w:rsidR="00FD7FCB" w:rsidRPr="00FD7FCB" w:rsidRDefault="00FD7FCB" w:rsidP="00FD7FCB">
      <w:pPr>
        <w:spacing w:after="0" w:line="240" w:lineRule="auto"/>
        <w:ind w:left="-709"/>
        <w:rPr>
          <w:rStyle w:val="Heading2Char"/>
          <w:rFonts w:ascii="Arial" w:eastAsia="Calibri" w:hAnsi="Arial" w:cs="Arial"/>
          <w:color w:val="auto"/>
        </w:rPr>
      </w:pPr>
      <w:r w:rsidRPr="00FD7FCB">
        <w:rPr>
          <w:rFonts w:cs="Arial"/>
        </w:rPr>
        <w:t xml:space="preserve">DCE1 : Un glossaire </w:t>
      </w:r>
    </w:p>
    <w:p w14:paraId="2675A252" w14:textId="77777777" w:rsidR="00FD7FCB" w:rsidRPr="00FD7FCB" w:rsidRDefault="00FD7FCB" w:rsidP="00FD7FCB">
      <w:pPr>
        <w:spacing w:after="0" w:line="240" w:lineRule="auto"/>
        <w:ind w:left="-709"/>
        <w:rPr>
          <w:rFonts w:cs="Arial"/>
        </w:rPr>
      </w:pPr>
    </w:p>
    <w:p w14:paraId="09E0E594" w14:textId="77777777" w:rsidR="00FD7FCB" w:rsidRPr="00FD7FCB" w:rsidRDefault="00FD7FCB" w:rsidP="00FD7FCB">
      <w:pPr>
        <w:pStyle w:val="Heading2"/>
        <w:spacing w:before="0" w:after="0" w:line="240" w:lineRule="auto"/>
        <w:ind w:left="-709"/>
        <w:rPr>
          <w:rFonts w:ascii="Arial" w:hAnsi="Arial" w:cs="Arial"/>
          <w:b/>
          <w:bCs/>
          <w:color w:val="auto"/>
        </w:rPr>
      </w:pPr>
      <w:r w:rsidRPr="00FD7FCB">
        <w:rPr>
          <w:rFonts w:ascii="Arial" w:hAnsi="Arial" w:cs="Arial"/>
          <w:b/>
          <w:bCs/>
          <w:color w:val="auto"/>
        </w:rPr>
        <w:t xml:space="preserve">Age : 13-19 ans </w:t>
      </w:r>
    </w:p>
    <w:p w14:paraId="13D424AD" w14:textId="77777777" w:rsidR="00FD7FCB" w:rsidRPr="00FD7FCB" w:rsidRDefault="00FD7FCB" w:rsidP="00FD7FCB">
      <w:pPr>
        <w:spacing w:after="0" w:line="240" w:lineRule="auto"/>
        <w:ind w:left="-709"/>
        <w:rPr>
          <w:rFonts w:cs="Arial"/>
        </w:rPr>
      </w:pPr>
    </w:p>
    <w:p w14:paraId="4C8FC661" w14:textId="77777777" w:rsidR="00FD7FCB" w:rsidRPr="00FD7FCB" w:rsidRDefault="00FD7FCB" w:rsidP="00FD7FCB">
      <w:pPr>
        <w:spacing w:after="0" w:line="240" w:lineRule="auto"/>
        <w:ind w:left="-709"/>
        <w:rPr>
          <w:rFonts w:eastAsia="Times New Roman" w:cs="Arial"/>
          <w:lang w:eastAsia="fr-FR"/>
        </w:rPr>
      </w:pPr>
      <w:bookmarkStart w:id="0" w:name="_Hlk201220836"/>
      <w:r w:rsidRPr="00FD7FCB">
        <w:rPr>
          <w:rFonts w:eastAsia="Times New Roman" w:cs="Arial"/>
          <w:lang w:eastAsia="fr-FR"/>
        </w:rPr>
        <w:t xml:space="preserve">Sciences de la vie et de la Terre : Le corps humain et la santé : </w:t>
      </w:r>
    </w:p>
    <w:p w14:paraId="42BA66A8"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-Argumenter l’intérêt des politiques de prévention et de lutte contre la contamination ou l’infection ;</w:t>
      </w:r>
    </w:p>
    <w:p w14:paraId="040118B2" w14:textId="77777777" w:rsidR="00FD7FCB" w:rsidRPr="00FD7FCB" w:rsidRDefault="00FD7FCB" w:rsidP="00FD7FCB">
      <w:pPr>
        <w:spacing w:after="0" w:line="240" w:lineRule="auto"/>
        <w:ind w:left="-709" w:right="-224"/>
        <w:rPr>
          <w:rFonts w:eastAsia="Times New Roman" w:cs="Arial"/>
          <w:lang w:eastAsia="fr-FR"/>
        </w:rPr>
      </w:pPr>
      <w:r w:rsidRPr="00FD7FCB">
        <w:rPr>
          <w:rFonts w:eastAsia="Times New Roman" w:cs="Arial"/>
          <w:lang w:eastAsia="fr-FR"/>
        </w:rPr>
        <w:t>-Mesures d’hygiène, vaccination, actions des antiseptiques et des antibiotiques ;</w:t>
      </w:r>
    </w:p>
    <w:p w14:paraId="391D1A17"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-Expliquer sur quoi reposent les comportements responsables dans le domaine de la sexualité ;</w:t>
      </w:r>
    </w:p>
    <w:p w14:paraId="2C7EAB64"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-Prévention des infections sexuellement transmissibles ;</w:t>
      </w:r>
    </w:p>
    <w:p w14:paraId="1281D64D" w14:textId="77777777" w:rsidR="00FD7FCB" w:rsidRPr="00FD7FCB" w:rsidRDefault="00FD7FCB" w:rsidP="00FD7FCB">
      <w:pPr>
        <w:spacing w:after="0" w:line="240" w:lineRule="auto"/>
        <w:ind w:left="-709"/>
        <w:rPr>
          <w:rFonts w:eastAsia="Times New Roman" w:cs="Arial"/>
          <w:lang w:eastAsia="fr-FR"/>
        </w:rPr>
      </w:pPr>
    </w:p>
    <w:p w14:paraId="1A06F994"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 xml:space="preserve"> Parcours éducatif de santé : </w:t>
      </w:r>
    </w:p>
    <w:p w14:paraId="18A15FAF"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-Généraliser l'éducation à la sexualité, faciliter l'accès à la contraception ;</w:t>
      </w:r>
    </w:p>
    <w:p w14:paraId="01E089E8" w14:textId="77777777" w:rsidR="00FD7FCB" w:rsidRPr="00FD7FCB" w:rsidRDefault="00FD7FCB" w:rsidP="00FD7FCB">
      <w:pPr>
        <w:spacing w:after="0" w:line="240" w:lineRule="auto"/>
        <w:ind w:left="-709"/>
        <w:rPr>
          <w:rFonts w:eastAsia="Times New Roman" w:cs="Arial"/>
          <w:lang w:eastAsia="fr-FR"/>
        </w:rPr>
      </w:pPr>
      <w:r w:rsidRPr="00FD7FCB">
        <w:rPr>
          <w:rFonts w:eastAsia="Times New Roman" w:cs="Arial"/>
          <w:lang w:eastAsia="fr-FR"/>
        </w:rPr>
        <w:t>-Maintenir un bon niveau d'information sur le VIH/SIDA et les principales IST ;</w:t>
      </w:r>
    </w:p>
    <w:bookmarkEnd w:id="0"/>
    <w:p w14:paraId="1E1727C8" w14:textId="77777777" w:rsidR="00FD7FCB" w:rsidRPr="00FD7FCB" w:rsidRDefault="00FD7FCB" w:rsidP="00FD7FCB">
      <w:pPr>
        <w:spacing w:after="0" w:line="240" w:lineRule="auto"/>
        <w:ind w:left="-709"/>
        <w:rPr>
          <w:rFonts w:cs="Arial"/>
        </w:rPr>
      </w:pPr>
    </w:p>
    <w:p w14:paraId="795DD45C" w14:textId="77777777" w:rsidR="00FD7FCB" w:rsidRPr="00FD7FCB" w:rsidRDefault="00FD7FCB" w:rsidP="00FD7FCB">
      <w:pPr>
        <w:pStyle w:val="Heading2"/>
        <w:spacing w:before="0" w:after="0" w:line="240" w:lineRule="auto"/>
        <w:ind w:left="-709"/>
        <w:rPr>
          <w:rFonts w:ascii="Arial" w:hAnsi="Arial" w:cs="Arial"/>
          <w:color w:val="auto"/>
        </w:rPr>
      </w:pPr>
    </w:p>
    <w:p w14:paraId="1FA8C0D0" w14:textId="77777777" w:rsidR="00FD7FCB" w:rsidRPr="00FD7FCB" w:rsidRDefault="00FD7FCB" w:rsidP="00FD7FCB">
      <w:pPr>
        <w:pStyle w:val="Heading2"/>
        <w:spacing w:before="0" w:after="0" w:line="240" w:lineRule="auto"/>
        <w:ind w:left="-709"/>
        <w:rPr>
          <w:rFonts w:ascii="Arial" w:hAnsi="Arial" w:cs="Arial"/>
          <w:b/>
          <w:bCs/>
          <w:color w:val="auto"/>
        </w:rPr>
      </w:pPr>
      <w:r w:rsidRPr="00FD7FCB">
        <w:rPr>
          <w:rFonts w:ascii="Arial" w:hAnsi="Arial" w:cs="Arial"/>
          <w:b/>
          <w:bCs/>
          <w:color w:val="auto"/>
        </w:rPr>
        <w:t>Matériel :</w:t>
      </w:r>
    </w:p>
    <w:p w14:paraId="27F9BAEA" w14:textId="77777777" w:rsidR="00FD7FCB" w:rsidRPr="00FD7FCB" w:rsidRDefault="00FD7FCB" w:rsidP="00FD7FCB">
      <w:pPr>
        <w:pStyle w:val="ListParagraph"/>
        <w:numPr>
          <w:ilvl w:val="0"/>
          <w:numId w:val="1"/>
        </w:numPr>
        <w:spacing w:after="0" w:line="240" w:lineRule="auto"/>
        <w:ind w:left="-709"/>
        <w:rPr>
          <w:rFonts w:cs="Arial"/>
        </w:rPr>
      </w:pPr>
      <w:r w:rsidRPr="00FD7FCB">
        <w:rPr>
          <w:rFonts w:cs="Arial"/>
        </w:rPr>
        <w:t>Enseignant : guide enseignant GE1 et GE1bis (réponses attendues), diaporama</w:t>
      </w:r>
    </w:p>
    <w:p w14:paraId="32846432" w14:textId="77777777" w:rsidR="00FD7FCB" w:rsidRPr="00FD7FCB" w:rsidRDefault="00FD7FCB" w:rsidP="00FD7FCB">
      <w:pPr>
        <w:pStyle w:val="ListParagraph"/>
        <w:numPr>
          <w:ilvl w:val="0"/>
          <w:numId w:val="1"/>
        </w:numPr>
        <w:spacing w:after="0" w:line="240" w:lineRule="auto"/>
        <w:ind w:left="-709"/>
        <w:rPr>
          <w:rFonts w:cs="Arial"/>
        </w:rPr>
      </w:pPr>
      <w:r w:rsidRPr="00FD7FCB">
        <w:rPr>
          <w:rFonts w:cs="Arial"/>
        </w:rPr>
        <w:t>Elève : distribuer à chaque élève le DTE1 (et imprimer les aides en fonction des besoins)</w:t>
      </w:r>
    </w:p>
    <w:p w14:paraId="1C04AD0E" w14:textId="77777777" w:rsidR="00FD7FCB" w:rsidRPr="00FD7FCB" w:rsidRDefault="00FD7FCB" w:rsidP="00FD7FCB">
      <w:pPr>
        <w:pStyle w:val="ListParagraph"/>
        <w:numPr>
          <w:ilvl w:val="0"/>
          <w:numId w:val="1"/>
        </w:numPr>
        <w:spacing w:after="0" w:line="240" w:lineRule="auto"/>
        <w:ind w:left="-709"/>
        <w:rPr>
          <w:rFonts w:cs="Arial"/>
        </w:rPr>
      </w:pPr>
      <w:r w:rsidRPr="00FD7FCB">
        <w:rPr>
          <w:rFonts w:cs="Arial"/>
        </w:rPr>
        <w:t xml:space="preserve">Documents </w:t>
      </w:r>
      <w:proofErr w:type="spellStart"/>
      <w:r w:rsidRPr="00FD7FCB">
        <w:rPr>
          <w:rFonts w:cs="Arial"/>
        </w:rPr>
        <w:t>complém</w:t>
      </w:r>
      <w:proofErr w:type="spellEnd"/>
    </w:p>
    <w:p w14:paraId="7A6FB239" w14:textId="77777777" w:rsidR="00FD7FCB" w:rsidRPr="00FD7FCB" w:rsidRDefault="00FD7FCB" w:rsidP="00FD7FCB">
      <w:pPr>
        <w:pStyle w:val="ListParagraph"/>
        <w:numPr>
          <w:ilvl w:val="0"/>
          <w:numId w:val="1"/>
        </w:numPr>
        <w:spacing w:after="0" w:line="240" w:lineRule="auto"/>
        <w:ind w:left="-709"/>
        <w:rPr>
          <w:rFonts w:cs="Arial"/>
        </w:rPr>
      </w:pPr>
      <w:proofErr w:type="spellStart"/>
      <w:proofErr w:type="gramStart"/>
      <w:r w:rsidRPr="00FD7FCB">
        <w:rPr>
          <w:rFonts w:cs="Arial"/>
        </w:rPr>
        <w:t>entaires</w:t>
      </w:r>
      <w:proofErr w:type="spellEnd"/>
      <w:proofErr w:type="gramEnd"/>
      <w:r w:rsidRPr="00FD7FCB">
        <w:rPr>
          <w:rFonts w:cs="Arial"/>
        </w:rPr>
        <w:t xml:space="preserve"> DCE1 </w:t>
      </w:r>
    </w:p>
    <w:p w14:paraId="2A152121" w14:textId="77777777" w:rsidR="00FD7FCB" w:rsidRPr="00FD7FCB" w:rsidRDefault="00FD7FCB" w:rsidP="00FD7FCB">
      <w:pPr>
        <w:pStyle w:val="CommentText"/>
        <w:ind w:left="-709"/>
        <w:rPr>
          <w:rFonts w:ascii="Arial" w:hAnsi="Arial" w:cs="Arial"/>
          <w:u w:val="single"/>
        </w:rPr>
      </w:pPr>
      <w:r w:rsidRPr="00FD7FCB">
        <w:rPr>
          <w:rFonts w:ascii="Arial" w:hAnsi="Arial" w:cs="Arial"/>
          <w:u w:val="single"/>
        </w:rPr>
        <w:t>Sources des données</w:t>
      </w:r>
    </w:p>
    <w:p w14:paraId="07A4C289" w14:textId="77777777" w:rsidR="00FD7FCB" w:rsidRPr="00FD7FCB" w:rsidRDefault="00FD7FCB" w:rsidP="00FD7FCB">
      <w:pPr>
        <w:pStyle w:val="CommentText"/>
        <w:ind w:left="-709"/>
        <w:rPr>
          <w:rFonts w:ascii="Arial" w:hAnsi="Arial" w:cs="Arial"/>
          <w:u w:val="single"/>
        </w:rPr>
      </w:pPr>
      <w:bookmarkStart w:id="1" w:name="_Hlk201222598"/>
    </w:p>
    <w:p w14:paraId="56C7C98D" w14:textId="77777777" w:rsidR="00FD7FCB" w:rsidRPr="00FD7FCB" w:rsidRDefault="00FD7FCB" w:rsidP="00FD7FCB">
      <w:pPr>
        <w:pStyle w:val="CommentText"/>
        <w:ind w:left="-709"/>
        <w:rPr>
          <w:rFonts w:ascii="Arial" w:eastAsia="Calibri" w:hAnsi="Arial" w:cs="Arial"/>
          <w:szCs w:val="22"/>
          <w:lang w:eastAsia="en-US"/>
        </w:rPr>
      </w:pPr>
      <w:hyperlink r:id="rId6" w:history="1">
        <w:r w:rsidRPr="00FD7FCB">
          <w:rPr>
            <w:rFonts w:ascii="Arial" w:eastAsia="Calibri" w:hAnsi="Arial" w:cs="Arial"/>
            <w:szCs w:val="22"/>
            <w:u w:val="single"/>
            <w:lang w:eastAsia="en-US"/>
          </w:rPr>
          <w:t>Infections à Papillomavirus humain - Portail Santé - Luxembourg</w:t>
        </w:r>
      </w:hyperlink>
    </w:p>
    <w:p w14:paraId="498C0083" w14:textId="77777777" w:rsidR="00FD7FCB" w:rsidRPr="00FD7FCB" w:rsidRDefault="00FD7FCB" w:rsidP="00FD7FCB">
      <w:pPr>
        <w:pStyle w:val="CommentText"/>
        <w:ind w:left="-709"/>
        <w:rPr>
          <w:rFonts w:ascii="Arial" w:eastAsia="Calibri" w:hAnsi="Arial" w:cs="Arial"/>
          <w:szCs w:val="22"/>
          <w:lang w:eastAsia="en-US"/>
        </w:rPr>
      </w:pPr>
    </w:p>
    <w:p w14:paraId="1AFC76B6" w14:textId="77777777" w:rsidR="00FD7FCB" w:rsidRPr="00FD7FCB" w:rsidRDefault="00FD7FCB" w:rsidP="00FD7FCB">
      <w:pPr>
        <w:pStyle w:val="CommentText"/>
        <w:ind w:left="-709"/>
        <w:rPr>
          <w:rFonts w:ascii="Arial" w:eastAsia="Calibri" w:hAnsi="Arial" w:cs="Arial"/>
          <w:szCs w:val="22"/>
          <w:lang w:eastAsia="en-US"/>
        </w:rPr>
      </w:pPr>
      <w:hyperlink r:id="rId7" w:history="1">
        <w:r w:rsidRPr="00FD7FCB">
          <w:rPr>
            <w:rFonts w:ascii="Arial" w:eastAsia="Calibri" w:hAnsi="Arial" w:cs="Arial"/>
            <w:szCs w:val="22"/>
            <w:u w:val="single"/>
            <w:lang w:eastAsia="en-US"/>
          </w:rPr>
          <w:t>La Vaccination - HPV Lux FR</w:t>
        </w:r>
      </w:hyperlink>
    </w:p>
    <w:p w14:paraId="6262E4C7" w14:textId="77777777" w:rsidR="00FD7FCB" w:rsidRPr="00FD7FCB" w:rsidRDefault="00FD7FCB" w:rsidP="00FD7FCB">
      <w:pPr>
        <w:pStyle w:val="CommentText"/>
        <w:ind w:left="-709"/>
        <w:rPr>
          <w:rFonts w:ascii="Arial" w:eastAsia="Calibri" w:hAnsi="Arial" w:cs="Arial"/>
          <w:szCs w:val="22"/>
          <w:lang w:eastAsia="en-US"/>
        </w:rPr>
      </w:pPr>
    </w:p>
    <w:p w14:paraId="06EF9D22" w14:textId="77777777" w:rsidR="00FD7FCB" w:rsidRPr="00FD7FCB" w:rsidRDefault="00FD7FCB" w:rsidP="00FD7FCB">
      <w:pPr>
        <w:pStyle w:val="CommentText"/>
        <w:ind w:left="-709"/>
        <w:rPr>
          <w:rFonts w:ascii="Arial" w:eastAsia="Calibri" w:hAnsi="Arial" w:cs="Arial"/>
          <w:szCs w:val="22"/>
          <w:lang w:eastAsia="en-US"/>
        </w:rPr>
      </w:pPr>
      <w:hyperlink r:id="rId8" w:history="1">
        <w:r w:rsidRPr="00FD7FCB">
          <w:rPr>
            <w:rFonts w:ascii="Arial" w:eastAsia="Calibri" w:hAnsi="Arial" w:cs="Arial"/>
            <w:szCs w:val="22"/>
            <w:u w:val="single"/>
            <w:lang w:eastAsia="en-US"/>
          </w:rPr>
          <w:t>Vaccination | Fondation Cancer</w:t>
        </w:r>
      </w:hyperlink>
    </w:p>
    <w:bookmarkEnd w:id="1"/>
    <w:p w14:paraId="316BD7FA" w14:textId="77777777" w:rsidR="00FD7FCB" w:rsidRPr="00FD7FCB" w:rsidRDefault="00FD7FCB" w:rsidP="00FD7FCB">
      <w:pPr>
        <w:pStyle w:val="CommentText"/>
        <w:ind w:left="-709"/>
        <w:rPr>
          <w:rFonts w:ascii="Arial" w:eastAsia="Calibri" w:hAnsi="Arial" w:cs="Arial"/>
          <w:szCs w:val="22"/>
          <w:lang w:eastAsia="en-US"/>
        </w:rPr>
      </w:pPr>
    </w:p>
    <w:p w14:paraId="11495542" w14:textId="77777777" w:rsidR="00FD7FCB" w:rsidRPr="00FD7FCB" w:rsidRDefault="00FD7FCB" w:rsidP="00FD7FCB">
      <w:pPr>
        <w:pStyle w:val="CommentText"/>
        <w:ind w:left="-709"/>
        <w:rPr>
          <w:rFonts w:ascii="Arial" w:eastAsia="Calibri" w:hAnsi="Arial" w:cs="Arial"/>
          <w:szCs w:val="22"/>
          <w:lang w:eastAsia="en-US"/>
        </w:rPr>
      </w:pPr>
    </w:p>
    <w:p w14:paraId="45588ABC" w14:textId="77777777" w:rsidR="00FD7FCB" w:rsidRPr="00FD7FCB" w:rsidRDefault="00FD7FCB" w:rsidP="00FD7FCB">
      <w:pPr>
        <w:pStyle w:val="CommentText"/>
        <w:ind w:left="-709"/>
        <w:rPr>
          <w:rFonts w:ascii="Arial" w:eastAsia="Calibri" w:hAnsi="Arial" w:cs="Arial"/>
          <w:szCs w:val="22"/>
          <w:lang w:eastAsia="en-US"/>
        </w:rPr>
      </w:pPr>
    </w:p>
    <w:p w14:paraId="70CF2C41" w14:textId="77777777" w:rsidR="00FD7FCB" w:rsidRPr="00FD7FCB" w:rsidRDefault="00FD7FCB" w:rsidP="00FD7FCB">
      <w:pPr>
        <w:pStyle w:val="CommentText"/>
        <w:ind w:left="-709"/>
        <w:rPr>
          <w:rFonts w:ascii="Arial" w:eastAsia="Calibri" w:hAnsi="Arial" w:cs="Arial"/>
          <w:szCs w:val="22"/>
          <w:lang w:eastAsia="en-US"/>
        </w:rPr>
      </w:pPr>
    </w:p>
    <w:p w14:paraId="56E1B146" w14:textId="77777777" w:rsidR="00FD7FCB" w:rsidRPr="00FD7FCB" w:rsidRDefault="00FD7FCB" w:rsidP="00FD7FCB">
      <w:pPr>
        <w:pStyle w:val="CommentText"/>
        <w:ind w:left="-709"/>
        <w:rPr>
          <w:rFonts w:ascii="Arial" w:eastAsia="Calibri" w:hAnsi="Arial" w:cs="Arial"/>
          <w:szCs w:val="22"/>
          <w:lang w:eastAsia="en-US"/>
        </w:rPr>
      </w:pPr>
    </w:p>
    <w:p w14:paraId="2B5AA76B" w14:textId="77777777" w:rsidR="00FD7FCB" w:rsidRPr="00FD7FCB" w:rsidRDefault="00FD7FCB" w:rsidP="00FD7FCB">
      <w:pPr>
        <w:pStyle w:val="CommentText"/>
        <w:ind w:left="-709"/>
        <w:rPr>
          <w:rFonts w:ascii="Arial" w:hAnsi="Arial" w:cs="Arial"/>
          <w:u w:val="single"/>
        </w:rPr>
      </w:pPr>
    </w:p>
    <w:p w14:paraId="4FD5774E" w14:textId="77777777" w:rsidR="00FD7FCB" w:rsidRPr="00FD7FCB" w:rsidRDefault="00FD7FCB" w:rsidP="00FD7FCB">
      <w:pPr>
        <w:pStyle w:val="CommentText"/>
        <w:rPr>
          <w:rFonts w:ascii="Arial" w:hAnsi="Arial" w:cs="Arial"/>
          <w:u w:val="single"/>
        </w:rPr>
      </w:pPr>
    </w:p>
    <w:p w14:paraId="2262C9F0" w14:textId="77777777" w:rsidR="006D6003" w:rsidRPr="00FD7FCB" w:rsidRDefault="006D6003" w:rsidP="00FD7FCB">
      <w:pPr>
        <w:spacing w:after="0" w:line="240" w:lineRule="auto"/>
        <w:rPr>
          <w:rFonts w:cs="Arial"/>
        </w:rPr>
      </w:pPr>
    </w:p>
    <w:sectPr w:rsidR="006D6003" w:rsidRPr="00FD7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3EB"/>
    <w:multiLevelType w:val="hybridMultilevel"/>
    <w:tmpl w:val="40464896"/>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07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B"/>
    <w:rsid w:val="00564922"/>
    <w:rsid w:val="006D6003"/>
    <w:rsid w:val="00C11EBE"/>
    <w:rsid w:val="00D272C9"/>
    <w:rsid w:val="00FD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7EC7"/>
  <w15:chartTrackingRefBased/>
  <w15:docId w15:val="{7950D802-154B-4A53-8CB3-A00966B5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CB"/>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FD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CB"/>
    <w:rPr>
      <w:rFonts w:eastAsiaTheme="majorEastAsia" w:cstheme="majorBidi"/>
      <w:color w:val="272727" w:themeColor="text1" w:themeTint="D8"/>
    </w:rPr>
  </w:style>
  <w:style w:type="paragraph" w:styleId="Title">
    <w:name w:val="Title"/>
    <w:basedOn w:val="Normal"/>
    <w:next w:val="Normal"/>
    <w:link w:val="TitleChar"/>
    <w:uiPriority w:val="10"/>
    <w:qFormat/>
    <w:rsid w:val="00FD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CB"/>
    <w:pPr>
      <w:spacing w:before="160"/>
      <w:jc w:val="center"/>
    </w:pPr>
    <w:rPr>
      <w:i/>
      <w:iCs/>
      <w:color w:val="404040" w:themeColor="text1" w:themeTint="BF"/>
    </w:rPr>
  </w:style>
  <w:style w:type="character" w:customStyle="1" w:styleId="QuoteChar">
    <w:name w:val="Quote Char"/>
    <w:basedOn w:val="DefaultParagraphFont"/>
    <w:link w:val="Quote"/>
    <w:uiPriority w:val="29"/>
    <w:rsid w:val="00FD7FCB"/>
    <w:rPr>
      <w:i/>
      <w:iCs/>
      <w:color w:val="404040" w:themeColor="text1" w:themeTint="BF"/>
    </w:rPr>
  </w:style>
  <w:style w:type="paragraph" w:styleId="ListParagraph">
    <w:name w:val="List Paragraph"/>
    <w:basedOn w:val="Normal"/>
    <w:uiPriority w:val="34"/>
    <w:qFormat/>
    <w:rsid w:val="00FD7FCB"/>
    <w:pPr>
      <w:ind w:left="720"/>
      <w:contextualSpacing/>
    </w:pPr>
  </w:style>
  <w:style w:type="character" w:styleId="IntenseEmphasis">
    <w:name w:val="Intense Emphasis"/>
    <w:basedOn w:val="DefaultParagraphFont"/>
    <w:uiPriority w:val="21"/>
    <w:qFormat/>
    <w:rsid w:val="00FD7FCB"/>
    <w:rPr>
      <w:i/>
      <w:iCs/>
      <w:color w:val="0F4761" w:themeColor="accent1" w:themeShade="BF"/>
    </w:rPr>
  </w:style>
  <w:style w:type="paragraph" w:styleId="IntenseQuote">
    <w:name w:val="Intense Quote"/>
    <w:basedOn w:val="Normal"/>
    <w:next w:val="Normal"/>
    <w:link w:val="IntenseQuoteChar"/>
    <w:uiPriority w:val="30"/>
    <w:qFormat/>
    <w:rsid w:val="00FD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FCB"/>
    <w:rPr>
      <w:i/>
      <w:iCs/>
      <w:color w:val="0F4761" w:themeColor="accent1" w:themeShade="BF"/>
    </w:rPr>
  </w:style>
  <w:style w:type="character" w:styleId="IntenseReference">
    <w:name w:val="Intense Reference"/>
    <w:basedOn w:val="DefaultParagraphFont"/>
    <w:uiPriority w:val="32"/>
    <w:qFormat/>
    <w:rsid w:val="00FD7FCB"/>
    <w:rPr>
      <w:b/>
      <w:bCs/>
      <w:smallCaps/>
      <w:color w:val="0F4761" w:themeColor="accent1" w:themeShade="BF"/>
      <w:spacing w:val="5"/>
    </w:rPr>
  </w:style>
  <w:style w:type="paragraph" w:styleId="CommentText">
    <w:name w:val="annotation text"/>
    <w:basedOn w:val="Normal"/>
    <w:link w:val="CommentTextChar"/>
    <w:uiPriority w:val="99"/>
    <w:unhideWhenUsed/>
    <w:rsid w:val="00FD7FCB"/>
    <w:pPr>
      <w:spacing w:after="0" w:line="240" w:lineRule="auto"/>
    </w:pPr>
    <w:rPr>
      <w:rFonts w:asciiTheme="minorHAnsi" w:eastAsiaTheme="minorEastAsia" w:hAnsiTheme="minorHAnsi" w:cstheme="minorBidi"/>
      <w:szCs w:val="24"/>
      <w:lang w:eastAsia="ja-JP"/>
    </w:rPr>
  </w:style>
  <w:style w:type="character" w:customStyle="1" w:styleId="CommentTextChar">
    <w:name w:val="Comment Text Char"/>
    <w:basedOn w:val="DefaultParagraphFont"/>
    <w:link w:val="CommentText"/>
    <w:uiPriority w:val="99"/>
    <w:rsid w:val="00FD7FCB"/>
    <w:rPr>
      <w:rFonts w:eastAsiaTheme="minorEastAsia"/>
      <w:kern w:val="0"/>
      <w:lang w:val="fr-FR"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lu/fr/restez-en-bonne-sante/vaccination" TargetMode="External"/><Relationship Id="rId3" Type="http://schemas.openxmlformats.org/officeDocument/2006/relationships/settings" Target="settings.xml"/><Relationship Id="rId7" Type="http://schemas.openxmlformats.org/officeDocument/2006/relationships/hyperlink" Target="https://www.hpvinfo.lu/la-vacc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tesecu.public.lu/fr/espace-citoyen/dossiers-thematiques/v/vaccination/maladies-vaccinables/infection-papillomaviru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2025-07-16T09:35:00Z</dcterms:created>
  <dcterms:modified xsi:type="dcterms:W3CDTF">2025-07-16T09:38:00Z</dcterms:modified>
</cp:coreProperties>
</file>