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5DC5" w14:textId="77777777" w:rsidR="005950D7" w:rsidRPr="006F4E5E" w:rsidRDefault="005950D7" w:rsidP="006F4E5E">
      <w:pPr>
        <w:pStyle w:val="Heading1"/>
        <w:jc w:val="center"/>
        <w:rPr>
          <w:rFonts w:ascii="Arial" w:hAnsi="Arial" w:cs="Arial"/>
          <w:b/>
          <w:bCs/>
          <w:color w:val="auto"/>
        </w:rPr>
      </w:pPr>
      <w:bookmarkStart w:id="0" w:name="_Hlk203556032"/>
      <w:r w:rsidRPr="006F4E5E">
        <w:rPr>
          <w:rFonts w:ascii="Arial" w:hAnsi="Arial" w:cs="Arial"/>
          <w:b/>
          <w:bCs/>
          <w:color w:val="auto"/>
        </w:rPr>
        <w:t>Vaccination HPV</w:t>
      </w:r>
    </w:p>
    <w:p w14:paraId="08FA153A" w14:textId="77777777" w:rsidR="005950D7" w:rsidRPr="006F4E5E" w:rsidRDefault="005950D7" w:rsidP="006F4E5E">
      <w:pPr>
        <w:pStyle w:val="Heading1"/>
        <w:jc w:val="center"/>
        <w:rPr>
          <w:rFonts w:ascii="Arial" w:hAnsi="Arial" w:cs="Arial"/>
          <w:b/>
          <w:bCs/>
          <w:color w:val="auto"/>
          <w:sz w:val="36"/>
          <w:szCs w:val="36"/>
        </w:rPr>
      </w:pPr>
      <w:r w:rsidRPr="006F4E5E">
        <w:rPr>
          <w:rFonts w:ascii="Arial" w:hAnsi="Arial" w:cs="Arial"/>
          <w:b/>
          <w:bCs/>
          <w:color w:val="auto"/>
          <w:sz w:val="36"/>
          <w:szCs w:val="36"/>
        </w:rPr>
        <w:t>Introduction et aperçu des ressources</w:t>
      </w:r>
    </w:p>
    <w:p w14:paraId="7D0D108F" w14:textId="77777777" w:rsidR="005950D7" w:rsidRPr="005950D7" w:rsidRDefault="005950D7" w:rsidP="005950D7">
      <w:pPr>
        <w:spacing w:after="0"/>
        <w:jc w:val="both"/>
        <w:rPr>
          <w:rFonts w:eastAsia="Times New Roman" w:cs="Arial"/>
          <w:b/>
          <w:sz w:val="16"/>
          <w:szCs w:val="16"/>
          <w:lang w:eastAsia="fr-FR"/>
        </w:rPr>
      </w:pPr>
      <w:r w:rsidRPr="005950D7">
        <w:rPr>
          <w:rFonts w:cs="Arial"/>
          <w:noProof/>
          <w:sz w:val="36"/>
          <w:szCs w:val="36"/>
          <w:lang w:eastAsia="fr-FR"/>
        </w:rPr>
        <w:drawing>
          <wp:anchor distT="0" distB="0" distL="114300" distR="114300" simplePos="0" relativeHeight="251660288" behindDoc="0" locked="0" layoutInCell="1" allowOverlap="1" wp14:anchorId="653E7085" wp14:editId="4D1321D1">
            <wp:simplePos x="0" y="0"/>
            <wp:positionH relativeFrom="page">
              <wp:posOffset>6696075</wp:posOffset>
            </wp:positionH>
            <wp:positionV relativeFrom="paragraph">
              <wp:posOffset>128269</wp:posOffset>
            </wp:positionV>
            <wp:extent cx="573405" cy="586105"/>
            <wp:effectExtent l="0" t="0" r="0" b="444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12A84" w14:textId="77777777" w:rsidR="005950D7" w:rsidRPr="005950D7" w:rsidRDefault="005950D7" w:rsidP="005950D7">
      <w:pPr>
        <w:spacing w:after="0"/>
        <w:jc w:val="both"/>
        <w:rPr>
          <w:rFonts w:eastAsia="Times New Roman" w:cs="Arial"/>
          <w:b/>
          <w:sz w:val="16"/>
          <w:szCs w:val="16"/>
          <w:lang w:eastAsia="fr-FR"/>
        </w:rPr>
      </w:pPr>
      <w:r w:rsidRPr="005950D7">
        <w:rPr>
          <w:rFonts w:cs="Arial"/>
          <w:noProof/>
          <w:lang w:eastAsia="fr-FR"/>
        </w:rPr>
        <mc:AlternateContent>
          <mc:Choice Requires="wps">
            <w:drawing>
              <wp:anchor distT="0" distB="0" distL="114300" distR="114300" simplePos="0" relativeHeight="251659264" behindDoc="1" locked="0" layoutInCell="1" allowOverlap="1" wp14:anchorId="7BFB05BC" wp14:editId="6817EDC3">
                <wp:simplePos x="0" y="0"/>
                <wp:positionH relativeFrom="column">
                  <wp:posOffset>-259080</wp:posOffset>
                </wp:positionH>
                <wp:positionV relativeFrom="paragraph">
                  <wp:posOffset>108585</wp:posOffset>
                </wp:positionV>
                <wp:extent cx="7038975" cy="8763000"/>
                <wp:effectExtent l="19050" t="19050" r="28575" b="19050"/>
                <wp:wrapNone/>
                <wp:docPr id="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630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71097" id="Rectangle 2" o:spid="_x0000_s1026" alt="&quot;&quot;" style="position:absolute;margin-left:-20.4pt;margin-top:8.55pt;width:554.25pt;height:6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" filled="f" strokecolor="#1f396c" strokeweight="2.25pt">
                <v:path arrowok="t"/>
              </v:rect>
            </w:pict>
          </mc:Fallback>
        </mc:AlternateContent>
      </w:r>
    </w:p>
    <w:p w14:paraId="540911CC" w14:textId="77777777" w:rsidR="005950D7" w:rsidRPr="005950D7" w:rsidRDefault="005950D7" w:rsidP="005950D7">
      <w:pPr>
        <w:spacing w:after="0"/>
        <w:rPr>
          <w:rFonts w:cs="Arial"/>
        </w:rPr>
      </w:pPr>
    </w:p>
    <w:p w14:paraId="7AFCA515" w14:textId="77777777" w:rsidR="005950D7" w:rsidRPr="005950D7" w:rsidRDefault="005950D7" w:rsidP="005950D7">
      <w:pPr>
        <w:spacing w:after="0"/>
        <w:rPr>
          <w:rFonts w:eastAsia="Times New Roman" w:cs="Arial"/>
          <w:szCs w:val="24"/>
          <w:u w:val="single"/>
          <w:lang w:eastAsia="fr-FR"/>
        </w:rPr>
        <w:sectPr w:rsidR="005950D7" w:rsidRPr="005950D7" w:rsidSect="005950D7">
          <w:pgSz w:w="11906" w:h="16838"/>
          <w:pgMar w:top="720" w:right="720" w:bottom="720" w:left="720" w:header="708" w:footer="283" w:gutter="0"/>
          <w:cols w:space="710"/>
          <w:docGrid w:linePitch="360"/>
        </w:sectPr>
      </w:pPr>
    </w:p>
    <w:p w14:paraId="49561F00" w14:textId="77777777" w:rsidR="005950D7" w:rsidRPr="005950D7" w:rsidRDefault="005950D7" w:rsidP="006F4E5E">
      <w:pPr>
        <w:pStyle w:val="Heading2"/>
        <w:ind w:left="-284" w:right="-366"/>
        <w:rPr>
          <w:rFonts w:ascii="Arial" w:hAnsi="Arial" w:cs="Arial"/>
          <w:b/>
          <w:bCs/>
          <w:color w:val="auto"/>
        </w:rPr>
      </w:pPr>
      <w:r w:rsidRPr="005950D7">
        <w:rPr>
          <w:rFonts w:ascii="Arial" w:hAnsi="Arial" w:cs="Arial"/>
          <w:b/>
          <w:bCs/>
          <w:color w:val="auto"/>
        </w:rPr>
        <w:t>Age : 13-19 ans</w:t>
      </w:r>
    </w:p>
    <w:p w14:paraId="07F00CF5" w14:textId="77777777" w:rsidR="005950D7" w:rsidRPr="005950D7" w:rsidRDefault="005950D7" w:rsidP="006F4E5E">
      <w:pPr>
        <w:ind w:left="-284" w:right="-366"/>
        <w:rPr>
          <w:rFonts w:cs="Arial"/>
        </w:rPr>
      </w:pPr>
    </w:p>
    <w:p w14:paraId="1F2DD132" w14:textId="77777777" w:rsidR="005950D7" w:rsidRPr="005950D7" w:rsidRDefault="005950D7" w:rsidP="006F4E5E">
      <w:pPr>
        <w:spacing w:after="0"/>
        <w:ind w:left="-284" w:right="-366"/>
        <w:rPr>
          <w:rFonts w:eastAsia="Times New Roman" w:cs="Arial"/>
          <w:szCs w:val="24"/>
          <w:lang w:eastAsia="fr-FR"/>
        </w:rPr>
      </w:pPr>
      <w:r w:rsidRPr="005950D7">
        <w:rPr>
          <w:rFonts w:eastAsia="Times New Roman" w:cs="Arial"/>
          <w:szCs w:val="24"/>
          <w:lang w:eastAsia="fr-FR"/>
        </w:rPr>
        <w:t>Sciences de la vie et de la Terre :</w:t>
      </w:r>
    </w:p>
    <w:p w14:paraId="3BBF3BDD" w14:textId="77777777" w:rsidR="005950D7" w:rsidRPr="005950D7" w:rsidRDefault="005950D7" w:rsidP="006F4E5E">
      <w:pPr>
        <w:spacing w:after="0"/>
        <w:ind w:left="-284" w:right="-366"/>
        <w:rPr>
          <w:rFonts w:eastAsia="Times New Roman" w:cs="Arial"/>
          <w:szCs w:val="24"/>
          <w:lang w:eastAsia="fr-FR"/>
        </w:rPr>
      </w:pPr>
      <w:r w:rsidRPr="005950D7">
        <w:rPr>
          <w:rFonts w:eastAsia="Times New Roman" w:cs="Arial"/>
          <w:szCs w:val="24"/>
          <w:lang w:eastAsia="fr-FR"/>
        </w:rPr>
        <w:t>-Le corps humain et la santé ;</w:t>
      </w:r>
    </w:p>
    <w:p w14:paraId="326858D0" w14:textId="77777777" w:rsidR="005950D7" w:rsidRPr="005950D7" w:rsidRDefault="005950D7" w:rsidP="006F4E5E">
      <w:pPr>
        <w:spacing w:after="0"/>
        <w:ind w:left="-284" w:right="-366"/>
        <w:rPr>
          <w:rFonts w:eastAsia="Times New Roman" w:cs="Arial"/>
          <w:szCs w:val="24"/>
          <w:lang w:eastAsia="fr-FR"/>
        </w:rPr>
      </w:pPr>
      <w:r w:rsidRPr="005950D7">
        <w:rPr>
          <w:rFonts w:eastAsia="Times New Roman" w:cs="Arial"/>
          <w:szCs w:val="24"/>
          <w:lang w:eastAsia="fr-FR"/>
        </w:rPr>
        <w:t>-Argumenter l’intérêt des politiques de prévention et de lutte contre la contamination ou l’infection ;</w:t>
      </w:r>
    </w:p>
    <w:p w14:paraId="682400FF" w14:textId="77777777" w:rsidR="005950D7" w:rsidRPr="005950D7" w:rsidRDefault="005950D7" w:rsidP="006F4E5E">
      <w:pPr>
        <w:spacing w:after="0"/>
        <w:ind w:left="-284" w:right="-366"/>
        <w:rPr>
          <w:rFonts w:eastAsia="Times New Roman" w:cs="Arial"/>
          <w:szCs w:val="24"/>
          <w:lang w:eastAsia="fr-FR"/>
        </w:rPr>
      </w:pPr>
      <w:r w:rsidRPr="005950D7">
        <w:rPr>
          <w:rFonts w:eastAsia="Times New Roman" w:cs="Arial"/>
          <w:szCs w:val="24"/>
          <w:lang w:eastAsia="fr-FR"/>
        </w:rPr>
        <w:t>-Mesures d’hygiène, vaccination, actions des antiseptiques et des antibiotiques ;</w:t>
      </w:r>
    </w:p>
    <w:p w14:paraId="484723E2" w14:textId="77777777" w:rsidR="005950D7" w:rsidRPr="005950D7" w:rsidRDefault="005950D7" w:rsidP="006F4E5E">
      <w:pPr>
        <w:spacing w:after="0"/>
        <w:ind w:left="-284" w:right="-366"/>
        <w:rPr>
          <w:rFonts w:eastAsia="Times New Roman" w:cs="Arial"/>
          <w:szCs w:val="24"/>
          <w:lang w:eastAsia="fr-FR"/>
        </w:rPr>
      </w:pPr>
      <w:r w:rsidRPr="005950D7">
        <w:rPr>
          <w:rFonts w:eastAsia="Times New Roman" w:cs="Arial"/>
          <w:szCs w:val="24"/>
          <w:lang w:eastAsia="fr-FR"/>
        </w:rPr>
        <w:t>-Expliquer sur quoi reposent les comportements responsables dans le domaine de la sexualité ;</w:t>
      </w:r>
    </w:p>
    <w:p w14:paraId="6C38687F" w14:textId="77777777" w:rsidR="005950D7" w:rsidRPr="005950D7" w:rsidRDefault="005950D7" w:rsidP="006F4E5E">
      <w:pPr>
        <w:spacing w:after="0"/>
        <w:ind w:left="-284" w:right="-366"/>
        <w:rPr>
          <w:rFonts w:eastAsia="Times New Roman" w:cs="Arial"/>
          <w:szCs w:val="24"/>
          <w:lang w:eastAsia="fr-FR"/>
        </w:rPr>
      </w:pPr>
      <w:r w:rsidRPr="005950D7">
        <w:rPr>
          <w:rFonts w:eastAsia="Times New Roman" w:cs="Arial"/>
          <w:szCs w:val="24"/>
          <w:lang w:eastAsia="fr-FR"/>
        </w:rPr>
        <w:t>-Prévention des infections sexuellement transmissibles ;</w:t>
      </w:r>
    </w:p>
    <w:p w14:paraId="4B0DB058" w14:textId="77777777" w:rsidR="005950D7" w:rsidRPr="005950D7" w:rsidRDefault="005950D7" w:rsidP="006F4E5E">
      <w:pPr>
        <w:spacing w:after="0"/>
        <w:ind w:left="-284" w:right="-366"/>
        <w:rPr>
          <w:rFonts w:eastAsia="Times New Roman" w:cs="Arial"/>
          <w:szCs w:val="24"/>
          <w:lang w:eastAsia="fr-FR"/>
        </w:rPr>
      </w:pPr>
    </w:p>
    <w:p w14:paraId="6733027F" w14:textId="77777777" w:rsidR="005950D7" w:rsidRPr="005950D7" w:rsidRDefault="005950D7" w:rsidP="006F4E5E">
      <w:pPr>
        <w:spacing w:after="0"/>
        <w:ind w:left="-284" w:right="-366"/>
        <w:rPr>
          <w:rFonts w:eastAsia="Times New Roman" w:cs="Arial"/>
          <w:szCs w:val="24"/>
          <w:lang w:eastAsia="fr-FR"/>
        </w:rPr>
      </w:pPr>
      <w:r w:rsidRPr="005950D7">
        <w:rPr>
          <w:rFonts w:eastAsia="Times New Roman" w:cs="Arial"/>
          <w:szCs w:val="24"/>
          <w:lang w:eastAsia="fr-FR"/>
        </w:rPr>
        <w:t xml:space="preserve"> Parcours éducatif de santé :</w:t>
      </w:r>
    </w:p>
    <w:p w14:paraId="2AF3BCDF" w14:textId="77777777" w:rsidR="005950D7" w:rsidRPr="005950D7" w:rsidRDefault="005950D7" w:rsidP="006F4E5E">
      <w:pPr>
        <w:spacing w:after="0"/>
        <w:ind w:left="-284" w:right="-366"/>
        <w:rPr>
          <w:rFonts w:eastAsia="Times New Roman" w:cs="Arial"/>
          <w:szCs w:val="24"/>
          <w:lang w:eastAsia="fr-FR"/>
        </w:rPr>
      </w:pPr>
      <w:r w:rsidRPr="005950D7">
        <w:rPr>
          <w:rFonts w:eastAsia="Times New Roman" w:cs="Arial"/>
          <w:szCs w:val="24"/>
          <w:lang w:eastAsia="fr-FR"/>
        </w:rPr>
        <w:t>-Généraliser l'éducation à la sexualité ;</w:t>
      </w:r>
    </w:p>
    <w:p w14:paraId="63A17EB7" w14:textId="77777777" w:rsidR="005950D7" w:rsidRPr="005950D7" w:rsidRDefault="005950D7" w:rsidP="006F4E5E">
      <w:pPr>
        <w:spacing w:after="0"/>
        <w:ind w:left="-284" w:right="-366"/>
        <w:rPr>
          <w:rFonts w:eastAsia="Times New Roman" w:cs="Arial"/>
          <w:szCs w:val="24"/>
          <w:lang w:eastAsia="fr-FR"/>
        </w:rPr>
      </w:pPr>
      <w:r w:rsidRPr="005950D7">
        <w:rPr>
          <w:rFonts w:eastAsia="Times New Roman" w:cs="Arial"/>
          <w:szCs w:val="24"/>
          <w:lang w:eastAsia="fr-FR"/>
        </w:rPr>
        <w:t>-Faciliter l'accès à la contraception et maintenir un bon niveau d'information sur le VIH/SIDA et les principales IST ;</w:t>
      </w:r>
    </w:p>
    <w:p w14:paraId="45872C2A" w14:textId="77777777" w:rsidR="005950D7" w:rsidRPr="005950D7" w:rsidRDefault="005950D7" w:rsidP="006F4E5E">
      <w:pPr>
        <w:pStyle w:val="Heading2"/>
        <w:ind w:left="-284" w:right="-366"/>
        <w:rPr>
          <w:rFonts w:ascii="Arial" w:hAnsi="Arial" w:cs="Arial"/>
          <w:i/>
          <w:color w:val="auto"/>
        </w:rPr>
      </w:pPr>
    </w:p>
    <w:p w14:paraId="2B289FBF" w14:textId="2B8F4E87" w:rsidR="005950D7" w:rsidRPr="005950D7" w:rsidRDefault="005950D7" w:rsidP="006F4E5E">
      <w:pPr>
        <w:ind w:left="-284" w:right="-366"/>
        <w:rPr>
          <w:rFonts w:cs="Arial"/>
        </w:rPr>
      </w:pPr>
      <w:r w:rsidRPr="005950D7">
        <w:rPr>
          <w:rFonts w:cs="Arial"/>
        </w:rPr>
        <w:br/>
      </w:r>
    </w:p>
    <w:p w14:paraId="7F098EC9" w14:textId="77777777" w:rsidR="005950D7" w:rsidRPr="005950D7" w:rsidRDefault="005950D7" w:rsidP="006F4E5E">
      <w:pPr>
        <w:spacing w:after="0"/>
        <w:ind w:left="-284" w:right="-366"/>
        <w:rPr>
          <w:rStyle w:val="Heading2Char"/>
          <w:rFonts w:ascii="Arial" w:eastAsia="Calibri" w:hAnsi="Arial" w:cs="Arial"/>
          <w:color w:val="auto"/>
        </w:rPr>
      </w:pPr>
    </w:p>
    <w:p w14:paraId="7820EB0D" w14:textId="77777777" w:rsidR="005950D7" w:rsidRPr="005950D7" w:rsidRDefault="005950D7" w:rsidP="006F4E5E">
      <w:pPr>
        <w:spacing w:after="0"/>
        <w:ind w:left="-284" w:right="-366"/>
        <w:rPr>
          <w:rStyle w:val="Heading2Char"/>
          <w:rFonts w:ascii="Arial" w:eastAsia="Calibri" w:hAnsi="Arial" w:cs="Arial"/>
          <w:color w:val="auto"/>
        </w:rPr>
      </w:pPr>
    </w:p>
    <w:p w14:paraId="1AC24FC8" w14:textId="77777777" w:rsidR="005950D7" w:rsidRPr="005950D7" w:rsidRDefault="005950D7" w:rsidP="006F4E5E">
      <w:pPr>
        <w:spacing w:after="0"/>
        <w:ind w:left="-284" w:right="-366"/>
        <w:rPr>
          <w:rStyle w:val="Heading2Char"/>
          <w:rFonts w:ascii="Arial" w:eastAsia="Calibri" w:hAnsi="Arial" w:cs="Arial"/>
          <w:color w:val="auto"/>
        </w:rPr>
      </w:pPr>
    </w:p>
    <w:p w14:paraId="367C12D8" w14:textId="58385444" w:rsidR="005950D7" w:rsidRPr="005950D7" w:rsidRDefault="005950D7" w:rsidP="006F4E5E">
      <w:pPr>
        <w:spacing w:after="0"/>
        <w:ind w:left="-284" w:right="-366"/>
        <w:rPr>
          <w:rStyle w:val="Heading2Char"/>
          <w:rFonts w:ascii="Arial" w:eastAsia="Calibri" w:hAnsi="Arial" w:cs="Arial"/>
          <w:color w:val="auto"/>
        </w:rPr>
      </w:pPr>
    </w:p>
    <w:p w14:paraId="7E848E23" w14:textId="77777777" w:rsidR="005950D7" w:rsidRPr="005950D7" w:rsidRDefault="005950D7" w:rsidP="006F4E5E">
      <w:pPr>
        <w:spacing w:after="0"/>
        <w:ind w:left="-284" w:right="-366"/>
        <w:rPr>
          <w:rStyle w:val="Heading2Char"/>
          <w:rFonts w:ascii="Arial" w:eastAsia="Calibri" w:hAnsi="Arial" w:cs="Arial"/>
          <w:color w:val="auto"/>
        </w:rPr>
      </w:pPr>
    </w:p>
    <w:p w14:paraId="49923CD7" w14:textId="77777777" w:rsidR="005950D7" w:rsidRPr="005950D7" w:rsidRDefault="005950D7" w:rsidP="006F4E5E">
      <w:pPr>
        <w:spacing w:after="0"/>
        <w:ind w:left="-284" w:right="-366"/>
        <w:rPr>
          <w:rStyle w:val="Heading2Char"/>
          <w:rFonts w:ascii="Arial" w:eastAsia="Calibri" w:hAnsi="Arial" w:cs="Arial"/>
          <w:color w:val="auto"/>
        </w:rPr>
      </w:pPr>
    </w:p>
    <w:p w14:paraId="2B35E770" w14:textId="77777777" w:rsidR="005950D7" w:rsidRPr="005950D7" w:rsidRDefault="005950D7" w:rsidP="006F4E5E">
      <w:pPr>
        <w:spacing w:after="0"/>
        <w:ind w:left="-284" w:right="-366"/>
        <w:rPr>
          <w:rStyle w:val="Heading2Char"/>
          <w:rFonts w:ascii="Arial" w:eastAsia="Calibri" w:hAnsi="Arial" w:cs="Arial"/>
          <w:color w:val="auto"/>
        </w:rPr>
      </w:pPr>
    </w:p>
    <w:p w14:paraId="6B6CB59F" w14:textId="77777777" w:rsidR="005950D7" w:rsidRPr="005950D7" w:rsidRDefault="005950D7" w:rsidP="006F4E5E">
      <w:pPr>
        <w:spacing w:after="0"/>
        <w:ind w:left="-284" w:right="-366"/>
        <w:rPr>
          <w:rStyle w:val="Heading2Char"/>
          <w:rFonts w:ascii="Arial" w:eastAsia="Calibri" w:hAnsi="Arial" w:cs="Arial"/>
          <w:color w:val="auto"/>
        </w:rPr>
      </w:pPr>
    </w:p>
    <w:p w14:paraId="0F47EE73" w14:textId="77777777" w:rsidR="005950D7" w:rsidRPr="005950D7" w:rsidRDefault="005950D7" w:rsidP="006F4E5E">
      <w:pPr>
        <w:spacing w:after="0"/>
        <w:ind w:left="-284" w:right="-366"/>
        <w:rPr>
          <w:rStyle w:val="Heading2Char"/>
          <w:rFonts w:ascii="Arial" w:eastAsia="Calibri" w:hAnsi="Arial" w:cs="Arial"/>
          <w:color w:val="auto"/>
        </w:rPr>
      </w:pPr>
    </w:p>
    <w:p w14:paraId="1446CD47" w14:textId="77777777" w:rsidR="005950D7" w:rsidRPr="005950D7" w:rsidRDefault="005950D7" w:rsidP="006F4E5E">
      <w:pPr>
        <w:spacing w:after="0"/>
        <w:ind w:left="-284" w:right="-366"/>
        <w:rPr>
          <w:rStyle w:val="Heading2Char"/>
          <w:rFonts w:ascii="Arial" w:eastAsia="Calibri" w:hAnsi="Arial" w:cs="Arial"/>
          <w:color w:val="auto"/>
        </w:rPr>
      </w:pPr>
    </w:p>
    <w:p w14:paraId="0E8E0BAE" w14:textId="77777777" w:rsidR="005950D7" w:rsidRDefault="005950D7" w:rsidP="006F4E5E">
      <w:pPr>
        <w:spacing w:after="0"/>
        <w:ind w:left="-284" w:right="-366"/>
        <w:rPr>
          <w:rStyle w:val="Heading2Char"/>
          <w:rFonts w:ascii="Arial" w:eastAsia="Calibri" w:hAnsi="Arial" w:cs="Arial"/>
          <w:color w:val="auto"/>
        </w:rPr>
      </w:pPr>
    </w:p>
    <w:p w14:paraId="05C2BBF7" w14:textId="77777777" w:rsidR="005950D7" w:rsidRPr="005950D7" w:rsidRDefault="005950D7" w:rsidP="006F4E5E">
      <w:pPr>
        <w:spacing w:after="0"/>
        <w:ind w:left="-284" w:right="-366"/>
        <w:rPr>
          <w:rStyle w:val="Heading2Char"/>
          <w:rFonts w:ascii="Arial" w:eastAsia="Calibri" w:hAnsi="Arial" w:cs="Arial"/>
          <w:color w:val="auto"/>
        </w:rPr>
      </w:pPr>
    </w:p>
    <w:p w14:paraId="3B15B94C" w14:textId="77777777" w:rsidR="005950D7" w:rsidRPr="005950D7" w:rsidRDefault="005950D7" w:rsidP="006F4E5E">
      <w:pPr>
        <w:spacing w:after="0"/>
        <w:ind w:left="-284" w:right="-366"/>
        <w:rPr>
          <w:rStyle w:val="Heading2Char"/>
          <w:rFonts w:ascii="Arial" w:eastAsia="Calibri" w:hAnsi="Arial" w:cs="Arial"/>
          <w:color w:val="auto"/>
        </w:rPr>
      </w:pPr>
    </w:p>
    <w:p w14:paraId="2CB7AF87" w14:textId="77777777" w:rsidR="005950D7" w:rsidRPr="005950D7" w:rsidRDefault="005950D7" w:rsidP="006F4E5E">
      <w:pPr>
        <w:spacing w:after="0"/>
        <w:ind w:left="-284" w:right="-650"/>
        <w:rPr>
          <w:rFonts w:eastAsia="Times New Roman" w:cs="Arial"/>
          <w:b/>
          <w:bCs/>
          <w:szCs w:val="24"/>
          <w:lang w:eastAsia="fr-FR"/>
        </w:rPr>
      </w:pPr>
      <w:r w:rsidRPr="005950D7">
        <w:rPr>
          <w:rStyle w:val="Heading2Char"/>
          <w:rFonts w:ascii="Arial" w:eastAsia="Calibri" w:hAnsi="Arial" w:cs="Arial"/>
          <w:b/>
          <w:bCs/>
          <w:color w:val="auto"/>
        </w:rPr>
        <w:t>Mots clés</w:t>
      </w:r>
    </w:p>
    <w:p w14:paraId="1DD5A749" w14:textId="77777777" w:rsidR="005950D7" w:rsidRPr="005950D7" w:rsidRDefault="005950D7" w:rsidP="006F4E5E">
      <w:pPr>
        <w:spacing w:after="0"/>
        <w:ind w:left="-284" w:right="-650"/>
        <w:rPr>
          <w:rFonts w:eastAsia="Times New Roman" w:cs="Arial"/>
          <w:szCs w:val="24"/>
          <w:lang w:eastAsia="fr-FR"/>
        </w:rPr>
      </w:pPr>
    </w:p>
    <w:p w14:paraId="287F5BCF"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Anus</w:t>
      </w:r>
    </w:p>
    <w:p w14:paraId="38F1E832"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 xml:space="preserve">Campagne vaccinale </w:t>
      </w:r>
    </w:p>
    <w:p w14:paraId="33659165"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Cancers</w:t>
      </w:r>
    </w:p>
    <w:p w14:paraId="5A879141"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Col de l’utérus</w:t>
      </w:r>
    </w:p>
    <w:p w14:paraId="1DDC41FB"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Contamination</w:t>
      </w:r>
    </w:p>
    <w:p w14:paraId="25DC0C15"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Couverture vaccinale</w:t>
      </w:r>
    </w:p>
    <w:p w14:paraId="05C84990"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Éradication</w:t>
      </w:r>
    </w:p>
    <w:p w14:paraId="6FBADB2C"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HPV</w:t>
      </w:r>
    </w:p>
    <w:p w14:paraId="6E771A39"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Infection</w:t>
      </w:r>
    </w:p>
    <w:p w14:paraId="6A35E4A1"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IST (infection sexuellement transmissible)</w:t>
      </w:r>
    </w:p>
    <w:p w14:paraId="3090F24B"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Lésions précancéreuses</w:t>
      </w:r>
    </w:p>
    <w:p w14:paraId="43AC001C"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Prévention</w:t>
      </w:r>
    </w:p>
    <w:p w14:paraId="388D1C59"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Vaccin</w:t>
      </w:r>
    </w:p>
    <w:p w14:paraId="18854492"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Verrues génitales</w:t>
      </w:r>
    </w:p>
    <w:p w14:paraId="4BA45E65"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 xml:space="preserve">Virus </w:t>
      </w:r>
    </w:p>
    <w:p w14:paraId="7BC61BDC"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Santé</w:t>
      </w:r>
    </w:p>
    <w:p w14:paraId="7A27B896" w14:textId="77777777" w:rsidR="005950D7" w:rsidRPr="005950D7" w:rsidRDefault="005950D7" w:rsidP="006F4E5E">
      <w:pPr>
        <w:spacing w:after="0"/>
        <w:ind w:left="-284" w:right="-650"/>
        <w:rPr>
          <w:rFonts w:eastAsia="Times New Roman" w:cs="Arial"/>
          <w:szCs w:val="24"/>
          <w:lang w:eastAsia="fr-FR"/>
        </w:rPr>
      </w:pPr>
      <w:r w:rsidRPr="005950D7">
        <w:rPr>
          <w:rFonts w:eastAsia="Times New Roman" w:cs="Arial"/>
          <w:szCs w:val="24"/>
          <w:lang w:eastAsia="fr-FR"/>
        </w:rPr>
        <w:t>Santé sexuelle</w:t>
      </w:r>
    </w:p>
    <w:p w14:paraId="60E14176" w14:textId="77777777" w:rsidR="005950D7" w:rsidRPr="005950D7" w:rsidRDefault="005950D7" w:rsidP="006F4E5E">
      <w:pPr>
        <w:spacing w:after="0"/>
        <w:ind w:left="-284" w:right="-650"/>
        <w:rPr>
          <w:rFonts w:cs="Arial"/>
          <w:szCs w:val="24"/>
        </w:rPr>
      </w:pPr>
      <w:r w:rsidRPr="005950D7">
        <w:rPr>
          <w:rFonts w:eastAsia="Times New Roman" w:cs="Arial"/>
          <w:szCs w:val="24"/>
          <w:lang w:eastAsia="fr-FR"/>
        </w:rPr>
        <w:t>Sexualité humaine</w:t>
      </w:r>
    </w:p>
    <w:p w14:paraId="3C992628" w14:textId="77777777" w:rsidR="005950D7" w:rsidRPr="005950D7" w:rsidRDefault="005950D7" w:rsidP="005950D7">
      <w:pPr>
        <w:spacing w:after="0"/>
        <w:rPr>
          <w:rFonts w:cs="Arial"/>
          <w:szCs w:val="24"/>
        </w:rPr>
        <w:sectPr w:rsidR="005950D7" w:rsidRPr="005950D7" w:rsidSect="005950D7">
          <w:type w:val="continuous"/>
          <w:pgSz w:w="11906" w:h="16838"/>
          <w:pgMar w:top="720" w:right="720" w:bottom="720" w:left="720" w:header="708" w:footer="708" w:gutter="0"/>
          <w:cols w:num="2" w:space="710" w:equalWidth="0">
            <w:col w:w="6438" w:space="709"/>
            <w:col w:w="3319"/>
          </w:cols>
          <w:docGrid w:linePitch="360"/>
        </w:sectPr>
      </w:pPr>
    </w:p>
    <w:p w14:paraId="5A59A1A6" w14:textId="77777777" w:rsidR="005950D7" w:rsidRPr="006F4E5E" w:rsidRDefault="005950D7" w:rsidP="005950D7">
      <w:pPr>
        <w:pStyle w:val="Heading2"/>
        <w:rPr>
          <w:rFonts w:ascii="Arial" w:hAnsi="Arial" w:cs="Arial"/>
          <w:b/>
          <w:bCs/>
          <w:color w:val="auto"/>
        </w:rPr>
      </w:pPr>
      <w:r w:rsidRPr="006F4E5E">
        <w:rPr>
          <w:rFonts w:ascii="Arial" w:hAnsi="Arial" w:cs="Arial"/>
          <w:b/>
          <w:bCs/>
          <w:color w:val="auto"/>
        </w:rPr>
        <w:lastRenderedPageBreak/>
        <w:t>Objectifs</w:t>
      </w:r>
    </w:p>
    <w:p w14:paraId="3B9B4455" w14:textId="77777777" w:rsidR="005950D7" w:rsidRPr="005950D7" w:rsidRDefault="005950D7" w:rsidP="005950D7">
      <w:pPr>
        <w:rPr>
          <w:rFonts w:cs="Arial"/>
        </w:rPr>
      </w:pPr>
    </w:p>
    <w:p w14:paraId="4E99415A" w14:textId="77777777" w:rsidR="005950D7" w:rsidRPr="005950D7" w:rsidRDefault="005950D7" w:rsidP="005950D7">
      <w:pPr>
        <w:spacing w:after="0"/>
        <w:rPr>
          <w:rFonts w:eastAsia="Times New Roman" w:cs="Arial"/>
          <w:szCs w:val="24"/>
          <w:lang w:eastAsia="fr-FR"/>
        </w:rPr>
      </w:pPr>
      <w:r w:rsidRPr="005950D7">
        <w:rPr>
          <w:rFonts w:eastAsia="Times New Roman" w:cs="Arial"/>
          <w:szCs w:val="24"/>
          <w:lang w:eastAsia="fr-FR"/>
        </w:rPr>
        <w:t>-Acquérir des connaissances sur les infections par les papillomavirus humains ;</w:t>
      </w:r>
    </w:p>
    <w:p w14:paraId="686CF6AE" w14:textId="77777777" w:rsidR="005950D7" w:rsidRPr="005950D7" w:rsidRDefault="005950D7" w:rsidP="005950D7">
      <w:pPr>
        <w:spacing w:after="0"/>
        <w:rPr>
          <w:rFonts w:eastAsia="Times New Roman" w:cs="Arial"/>
          <w:szCs w:val="24"/>
          <w:lang w:eastAsia="fr-FR"/>
        </w:rPr>
      </w:pPr>
      <w:r w:rsidRPr="005950D7">
        <w:rPr>
          <w:rFonts w:eastAsia="Times New Roman" w:cs="Arial"/>
          <w:szCs w:val="24"/>
          <w:lang w:eastAsia="fr-FR"/>
        </w:rPr>
        <w:t>-Connaître les moyens de prévention d’une infection aux papillomavirus humains ;</w:t>
      </w:r>
    </w:p>
    <w:p w14:paraId="37405B03" w14:textId="77777777" w:rsidR="005950D7" w:rsidRPr="005950D7" w:rsidRDefault="005950D7" w:rsidP="005950D7">
      <w:pPr>
        <w:spacing w:after="0"/>
        <w:rPr>
          <w:rFonts w:eastAsia="Times New Roman" w:cs="Arial"/>
          <w:szCs w:val="24"/>
          <w:lang w:eastAsia="fr-FR"/>
        </w:rPr>
      </w:pPr>
      <w:r w:rsidRPr="005950D7">
        <w:rPr>
          <w:rFonts w:eastAsia="Times New Roman" w:cs="Arial"/>
          <w:szCs w:val="24"/>
          <w:lang w:eastAsia="fr-FR"/>
        </w:rPr>
        <w:t>-Participer à un débat avec ses pairs ;</w:t>
      </w:r>
    </w:p>
    <w:p w14:paraId="3AF047D9" w14:textId="77777777" w:rsidR="005950D7" w:rsidRPr="005950D7" w:rsidRDefault="005950D7" w:rsidP="005950D7">
      <w:pPr>
        <w:spacing w:after="0"/>
        <w:rPr>
          <w:rFonts w:eastAsia="Times New Roman" w:cs="Arial"/>
          <w:szCs w:val="24"/>
          <w:lang w:eastAsia="fr-FR"/>
        </w:rPr>
      </w:pPr>
      <w:r w:rsidRPr="005950D7">
        <w:rPr>
          <w:rFonts w:eastAsia="Times New Roman" w:cs="Arial"/>
          <w:szCs w:val="24"/>
          <w:lang w:eastAsia="fr-FR"/>
        </w:rPr>
        <w:t>-Exercer son esprit critique en interrogeant la fiabilité des sources ;</w:t>
      </w:r>
    </w:p>
    <w:p w14:paraId="2F012DCB" w14:textId="77777777" w:rsidR="005950D7" w:rsidRPr="005950D7" w:rsidRDefault="005950D7" w:rsidP="005950D7">
      <w:pPr>
        <w:spacing w:after="0"/>
        <w:rPr>
          <w:rFonts w:eastAsia="Times New Roman" w:cs="Arial"/>
          <w:bCs/>
          <w:iCs/>
          <w:szCs w:val="28"/>
        </w:rPr>
      </w:pPr>
    </w:p>
    <w:p w14:paraId="5B46960B" w14:textId="77777777" w:rsidR="005950D7" w:rsidRPr="006F4E5E" w:rsidRDefault="005950D7" w:rsidP="005950D7">
      <w:pPr>
        <w:pStyle w:val="Heading2"/>
        <w:rPr>
          <w:rFonts w:ascii="Arial" w:hAnsi="Arial" w:cs="Arial"/>
          <w:b/>
          <w:bCs/>
          <w:color w:val="auto"/>
        </w:rPr>
      </w:pPr>
      <w:r w:rsidRPr="006F4E5E">
        <w:rPr>
          <w:rFonts w:ascii="Arial" w:hAnsi="Arial" w:cs="Arial"/>
          <w:b/>
          <w:bCs/>
          <w:color w:val="auto"/>
        </w:rPr>
        <w:t>Contexte</w:t>
      </w:r>
    </w:p>
    <w:p w14:paraId="3DF700E8" w14:textId="77777777" w:rsidR="005950D7" w:rsidRPr="005950D7" w:rsidRDefault="005950D7" w:rsidP="005950D7">
      <w:pPr>
        <w:rPr>
          <w:rFonts w:cs="Arial"/>
        </w:rPr>
      </w:pPr>
    </w:p>
    <w:p w14:paraId="47EAA71D" w14:textId="77777777" w:rsidR="005950D7" w:rsidRPr="005950D7" w:rsidRDefault="005950D7" w:rsidP="005950D7">
      <w:pPr>
        <w:spacing w:after="0"/>
        <w:rPr>
          <w:rFonts w:eastAsia="Times New Roman" w:cs="Arial"/>
          <w:szCs w:val="24"/>
          <w:lang w:eastAsia="fr-FR"/>
        </w:rPr>
      </w:pPr>
      <w:r w:rsidRPr="005950D7">
        <w:rPr>
          <w:rFonts w:eastAsia="Times New Roman" w:cs="Arial"/>
          <w:szCs w:val="24"/>
          <w:lang w:eastAsia="fr-FR"/>
        </w:rPr>
        <w:t xml:space="preserve">100% des cancers du col de l’utérus sont liés aux HPV. Les vaccins contre les cancers sont extrêmement rares. La vaccination contre les HPV est l’une des seules vaccinations existantes contre les lésions précancéreuses et les cancers. Plus de 25 % des cancers provoqués par les HPV surviennent chez les hommes (cancer du pénis, de l’anus et oropharyngé). </w:t>
      </w:r>
      <w:r w:rsidRPr="005950D7">
        <w:rPr>
          <w:rFonts w:eastAsia="Times New Roman" w:cs="Arial"/>
          <w:szCs w:val="24"/>
          <w:lang w:eastAsia="fr-FR"/>
        </w:rPr>
        <w:br w:type="page"/>
      </w:r>
    </w:p>
    <w:p w14:paraId="1019CD6B" w14:textId="77777777" w:rsidR="005950D7" w:rsidRPr="005950D7" w:rsidRDefault="005950D7" w:rsidP="005950D7">
      <w:pPr>
        <w:spacing w:after="0"/>
        <w:rPr>
          <w:rFonts w:eastAsia="Times New Roman" w:cs="Arial"/>
          <w:szCs w:val="24"/>
          <w:lang w:eastAsia="fr-FR"/>
        </w:rPr>
      </w:pPr>
      <w:r w:rsidRPr="005950D7">
        <w:rPr>
          <w:rFonts w:cs="Arial"/>
          <w:noProof/>
          <w:lang w:eastAsia="fr-FR"/>
        </w:rPr>
        <w:lastRenderedPageBreak/>
        <mc:AlternateContent>
          <mc:Choice Requires="wps">
            <w:drawing>
              <wp:anchor distT="0" distB="0" distL="114300" distR="114300" simplePos="0" relativeHeight="251662336" behindDoc="1" locked="0" layoutInCell="1" allowOverlap="1" wp14:anchorId="79094467" wp14:editId="73921934">
                <wp:simplePos x="0" y="0"/>
                <wp:positionH relativeFrom="margin">
                  <wp:align>center</wp:align>
                </wp:positionH>
                <wp:positionV relativeFrom="paragraph">
                  <wp:posOffset>-12065</wp:posOffset>
                </wp:positionV>
                <wp:extent cx="7038975" cy="9458325"/>
                <wp:effectExtent l="19050" t="19050" r="28575" b="28575"/>
                <wp:wrapNone/>
                <wp:docPr id="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583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A8508" id="Rectangle 2" o:spid="_x0000_s1026" alt="&quot;&quot;" style="position:absolute;margin-left:0;margin-top:-.95pt;width:554.25pt;height:744.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" filled="f" strokecolor="#1f396c" strokeweight="2.25pt">
                <v:path arrowok="t"/>
                <w10:wrap anchorx="margin"/>
              </v:rect>
            </w:pict>
          </mc:Fallback>
        </mc:AlternateContent>
      </w:r>
    </w:p>
    <w:p w14:paraId="48EA3918" w14:textId="77777777" w:rsidR="005950D7" w:rsidRPr="005950D7" w:rsidRDefault="005950D7" w:rsidP="006F4E5E">
      <w:pPr>
        <w:spacing w:after="0"/>
        <w:ind w:left="-567" w:right="-897"/>
        <w:rPr>
          <w:rFonts w:eastAsia="Times New Roman" w:cs="Arial"/>
          <w:szCs w:val="24"/>
          <w:lang w:eastAsia="fr-FR"/>
        </w:rPr>
      </w:pPr>
      <w:r w:rsidRPr="005950D7">
        <w:rPr>
          <w:rFonts w:eastAsia="Times New Roman" w:cs="Arial"/>
          <w:szCs w:val="24"/>
          <w:lang w:eastAsia="fr-FR"/>
        </w:rPr>
        <w:t xml:space="preserve">Au Luxembourg, la vaccination contre les HPV est recommandée chez les filles depuis 2007 et pour les deux sexes de 9 ans à 14 ans depuis janvier </w:t>
      </w:r>
      <w:proofErr w:type="gramStart"/>
      <w:r w:rsidRPr="005950D7">
        <w:rPr>
          <w:rFonts w:eastAsia="Times New Roman" w:cs="Arial"/>
          <w:szCs w:val="24"/>
          <w:lang w:eastAsia="fr-FR"/>
        </w:rPr>
        <w:t>2023 .</w:t>
      </w:r>
      <w:proofErr w:type="gramEnd"/>
      <w:r w:rsidRPr="005950D7">
        <w:rPr>
          <w:rFonts w:eastAsia="Times New Roman" w:cs="Arial"/>
          <w:szCs w:val="24"/>
          <w:lang w:eastAsia="fr-FR"/>
        </w:rPr>
        <w:t xml:space="preserve"> Cela signifie que la vaccination n’est pas obligatoire mais qu’elle est conseillée et prise en charge par la CNS.</w:t>
      </w:r>
    </w:p>
    <w:p w14:paraId="5C9D2289" w14:textId="77777777" w:rsidR="005950D7" w:rsidRPr="005950D7" w:rsidRDefault="005950D7" w:rsidP="006F4E5E">
      <w:pPr>
        <w:spacing w:after="0"/>
        <w:ind w:left="-567" w:right="-897"/>
        <w:rPr>
          <w:rFonts w:eastAsia="Times New Roman" w:cs="Arial"/>
          <w:szCs w:val="24"/>
          <w:lang w:eastAsia="fr-FR"/>
        </w:rPr>
      </w:pPr>
      <w:r w:rsidRPr="005950D7">
        <w:rPr>
          <w:rFonts w:eastAsia="Times New Roman" w:cs="Arial"/>
          <w:szCs w:val="24"/>
          <w:lang w:eastAsia="fr-FR"/>
        </w:rPr>
        <w:t xml:space="preserve">En 2020, en Europe, la couverture vaccinale dépassait 50% dans 20 pays et 75% dans 11 pays dont le Portugal, l’Espagne et le Royaume-Uni. </w:t>
      </w:r>
    </w:p>
    <w:p w14:paraId="1342D34A" w14:textId="77777777" w:rsidR="005950D7" w:rsidRPr="005950D7" w:rsidRDefault="005950D7" w:rsidP="006F4E5E">
      <w:pPr>
        <w:spacing w:after="0"/>
        <w:ind w:left="-567" w:right="-897"/>
        <w:rPr>
          <w:rFonts w:eastAsia="Times New Roman" w:cs="Arial"/>
          <w:szCs w:val="24"/>
          <w:lang w:eastAsia="fr-FR"/>
        </w:rPr>
      </w:pPr>
    </w:p>
    <w:p w14:paraId="05B0787B" w14:textId="77777777" w:rsidR="005950D7" w:rsidRPr="005950D7" w:rsidRDefault="005950D7" w:rsidP="006F4E5E">
      <w:pPr>
        <w:spacing w:after="0"/>
        <w:ind w:left="-567" w:right="-897"/>
        <w:rPr>
          <w:rFonts w:eastAsia="Times New Roman" w:cs="Arial"/>
          <w:szCs w:val="24"/>
          <w:lang w:eastAsia="fr-FR"/>
        </w:rPr>
      </w:pPr>
      <w:r w:rsidRPr="005950D7">
        <w:rPr>
          <w:rFonts w:eastAsia="Times New Roman" w:cs="Arial"/>
          <w:szCs w:val="24"/>
          <w:lang w:eastAsia="fr-FR"/>
        </w:rPr>
        <w:t>En Australie, où la recommandation de vacciner les filles date de 2007 et celle des garçons de 2013, la couverture vaccinale d’au moins 80 % a permis une réduction de plus de 77 % des génotypes viraux responsables de 75 % des cancers du col de l’utérus, et une diminution de plus de 50% de l’incidence des lésions précancéreuses cervicales de haut grade chez les jeunes filles de moins de 20 ans. Dans ce pays, le succès de la campagne de vaccination, associée au dépistage, ouvre la perspective d’une éradication du cancer du col de l’utérus d’ici une quinzaine d’année. Ceci témoigne de l’excellente efficacité et de la bonne tolérance de ce vaccin.</w:t>
      </w:r>
    </w:p>
    <w:p w14:paraId="5E0ABBCE" w14:textId="77777777" w:rsidR="005950D7" w:rsidRPr="005950D7" w:rsidRDefault="005950D7" w:rsidP="006F4E5E">
      <w:pPr>
        <w:spacing w:after="0"/>
        <w:ind w:left="-567" w:right="-897"/>
        <w:rPr>
          <w:rFonts w:eastAsia="Times New Roman" w:cs="Arial"/>
          <w:szCs w:val="24"/>
          <w:lang w:eastAsia="fr-FR"/>
        </w:rPr>
      </w:pPr>
    </w:p>
    <w:p w14:paraId="5CD3C5B8" w14:textId="77777777" w:rsidR="005950D7" w:rsidRPr="005950D7" w:rsidRDefault="005950D7" w:rsidP="006F4E5E">
      <w:pPr>
        <w:spacing w:after="0"/>
        <w:ind w:left="-567" w:right="-897"/>
        <w:rPr>
          <w:rFonts w:eastAsia="Times New Roman" w:cs="Arial"/>
          <w:szCs w:val="24"/>
          <w:lang w:eastAsia="fr-FR"/>
        </w:rPr>
      </w:pPr>
      <w:r w:rsidRPr="005950D7">
        <w:rPr>
          <w:rFonts w:eastAsia="Times New Roman" w:cs="Arial"/>
          <w:szCs w:val="24"/>
          <w:lang w:eastAsia="fr-FR"/>
        </w:rPr>
        <w:t xml:space="preserve">En France en 2022, la couverture vaccinale contre les infections à HPV était de 47,8% pour une dose chez des filles âgées de 15 ans et 41,5% pour le schéma complet chez les filles âgées de </w:t>
      </w:r>
      <w:r w:rsidRPr="005950D7">
        <w:rPr>
          <w:rFonts w:eastAsia="Times New Roman" w:cs="Arial"/>
          <w:szCs w:val="24"/>
          <w:lang w:eastAsia="fr-FR"/>
        </w:rPr>
        <w:br/>
        <w:t xml:space="preserve">16 ans. Chez les jeunes garçons, la vaccination contre les infections à HPV recommandée depuis 2021, la couverture vaccinale est de 12,8% pour la première dose à 15 ans versus 6% l’année </w:t>
      </w:r>
      <w:r w:rsidRPr="005950D7">
        <w:rPr>
          <w:rFonts w:eastAsia="Arial" w:cs="Arial"/>
          <w:szCs w:val="24"/>
        </w:rPr>
        <w:t>dernière</w:t>
      </w:r>
      <w:r w:rsidRPr="005950D7">
        <w:rPr>
          <w:rFonts w:eastAsia="Roboto" w:cs="Arial"/>
          <w:szCs w:val="24"/>
        </w:rPr>
        <w:t xml:space="preserve"> (</w:t>
      </w:r>
      <w:hyperlink r:id="rId8" w:history="1">
        <w:r w:rsidRPr="005950D7">
          <w:rPr>
            <w:rStyle w:val="Hyperlink"/>
            <w:rFonts w:eastAsia="Roboto" w:cs="Arial"/>
            <w:color w:val="auto"/>
            <w:szCs w:val="24"/>
          </w:rPr>
          <w:t>Santé publique France</w:t>
        </w:r>
      </w:hyperlink>
      <w:r w:rsidRPr="005950D7">
        <w:rPr>
          <w:rStyle w:val="Hyperlink"/>
          <w:rFonts w:eastAsia="Roboto" w:cs="Arial"/>
          <w:color w:val="auto"/>
          <w:szCs w:val="24"/>
        </w:rPr>
        <w:t>, données du 25 avril 2023</w:t>
      </w:r>
      <w:r w:rsidRPr="005950D7">
        <w:rPr>
          <w:rFonts w:eastAsia="Roboto" w:cs="Arial"/>
          <w:szCs w:val="24"/>
        </w:rPr>
        <w:t>).</w:t>
      </w:r>
      <w:r w:rsidRPr="005950D7">
        <w:rPr>
          <w:rFonts w:eastAsia="Arial" w:cs="Arial"/>
          <w:szCs w:val="24"/>
        </w:rPr>
        <w:t xml:space="preserve"> </w:t>
      </w:r>
      <w:r w:rsidRPr="005950D7">
        <w:rPr>
          <w:rFonts w:cs="Arial"/>
          <w:szCs w:val="24"/>
          <w:lang w:eastAsia="fr-FR"/>
        </w:rPr>
        <w:t>La France reste à un niveau très éloigné des objectifs fixés par la Stratégie nationale de santé sexuelle et le Plan cancer : 60% chez les adolescentes âgées de 11 à 19 ans en 2023 et 80 % à horizon 2030.</w:t>
      </w:r>
    </w:p>
    <w:p w14:paraId="435515A9" w14:textId="77777777" w:rsidR="005950D7" w:rsidRPr="006F4E5E" w:rsidRDefault="005950D7" w:rsidP="006F4E5E">
      <w:pPr>
        <w:pStyle w:val="Heading2"/>
        <w:ind w:left="-567" w:right="-897"/>
        <w:rPr>
          <w:rFonts w:ascii="Arial" w:hAnsi="Arial" w:cs="Arial"/>
          <w:b/>
          <w:bCs/>
          <w:color w:val="auto"/>
        </w:rPr>
      </w:pPr>
      <w:r w:rsidRPr="006F4E5E">
        <w:rPr>
          <w:rFonts w:ascii="Arial" w:hAnsi="Arial" w:cs="Arial"/>
          <w:b/>
          <w:bCs/>
          <w:color w:val="auto"/>
        </w:rPr>
        <w:t>Liens Internet</w:t>
      </w:r>
    </w:p>
    <w:p w14:paraId="322CCADD" w14:textId="77777777" w:rsidR="005950D7" w:rsidRPr="005950D7" w:rsidRDefault="005950D7" w:rsidP="006F4E5E">
      <w:pPr>
        <w:pStyle w:val="ListParagraph"/>
        <w:numPr>
          <w:ilvl w:val="0"/>
          <w:numId w:val="1"/>
        </w:numPr>
        <w:ind w:left="-567" w:right="-897"/>
        <w:rPr>
          <w:rFonts w:cs="Arial"/>
        </w:rPr>
      </w:pPr>
      <w:hyperlink r:id="rId9" w:history="1">
        <w:r w:rsidRPr="005950D7">
          <w:rPr>
            <w:rFonts w:cs="Arial"/>
            <w:u w:val="single"/>
          </w:rPr>
          <w:t>La Vaccination - HPV Lux FR</w:t>
        </w:r>
      </w:hyperlink>
    </w:p>
    <w:p w14:paraId="7B6F4B49" w14:textId="77777777" w:rsidR="005950D7" w:rsidRPr="005950D7" w:rsidRDefault="005950D7" w:rsidP="006F4E5E">
      <w:pPr>
        <w:pStyle w:val="ListParagraph"/>
        <w:numPr>
          <w:ilvl w:val="0"/>
          <w:numId w:val="1"/>
        </w:numPr>
        <w:ind w:left="-567" w:right="-897"/>
        <w:rPr>
          <w:rFonts w:cs="Arial"/>
        </w:rPr>
      </w:pPr>
      <w:hyperlink r:id="rId10" w:history="1">
        <w:r w:rsidRPr="005950D7">
          <w:rPr>
            <w:rFonts w:cs="Arial"/>
            <w:u w:val="single"/>
          </w:rPr>
          <w:t>Calendrier des vaccinations et des immunisations passives - Portail Santé - Luxembourg</w:t>
        </w:r>
      </w:hyperlink>
    </w:p>
    <w:p w14:paraId="77A828E6" w14:textId="77777777" w:rsidR="005950D7" w:rsidRPr="005950D7" w:rsidRDefault="005950D7" w:rsidP="006F4E5E">
      <w:pPr>
        <w:pStyle w:val="ListParagraph"/>
        <w:numPr>
          <w:ilvl w:val="0"/>
          <w:numId w:val="1"/>
        </w:numPr>
        <w:ind w:left="-567" w:right="-897"/>
        <w:rPr>
          <w:rFonts w:cs="Arial"/>
        </w:rPr>
      </w:pPr>
      <w:hyperlink r:id="rId11" w:history="1">
        <w:r w:rsidRPr="005950D7">
          <w:rPr>
            <w:rFonts w:cs="Arial"/>
            <w:u w:val="single"/>
          </w:rPr>
          <w:t>Vaccination | Fondation Cancer</w:t>
        </w:r>
      </w:hyperlink>
    </w:p>
    <w:p w14:paraId="093609A7" w14:textId="77777777" w:rsidR="005950D7" w:rsidRPr="005950D7" w:rsidRDefault="005950D7" w:rsidP="006F4E5E">
      <w:pPr>
        <w:pStyle w:val="ListParagraph"/>
        <w:numPr>
          <w:ilvl w:val="0"/>
          <w:numId w:val="1"/>
        </w:numPr>
        <w:ind w:left="-567" w:right="-897"/>
        <w:rPr>
          <w:rFonts w:cs="Arial"/>
        </w:rPr>
      </w:pPr>
      <w:hyperlink r:id="rId12" w:history="1">
        <w:r w:rsidRPr="005950D7">
          <w:rPr>
            <w:rFonts w:cs="Arial"/>
            <w:u w:val="single"/>
          </w:rPr>
          <w:t>Vaccination - CNS - Luxembourg</w:t>
        </w:r>
      </w:hyperlink>
    </w:p>
    <w:p w14:paraId="791CF626" w14:textId="77777777" w:rsidR="005950D7" w:rsidRPr="005950D7" w:rsidRDefault="005950D7" w:rsidP="006F4E5E">
      <w:pPr>
        <w:pStyle w:val="ListParagraph"/>
        <w:ind w:left="-567" w:right="-897"/>
        <w:rPr>
          <w:rFonts w:cs="Arial"/>
        </w:rPr>
      </w:pPr>
    </w:p>
    <w:p w14:paraId="671C0FA1" w14:textId="77777777" w:rsidR="005950D7" w:rsidRPr="005950D7" w:rsidRDefault="005950D7" w:rsidP="006F4E5E">
      <w:pPr>
        <w:pStyle w:val="ListParagraph"/>
        <w:numPr>
          <w:ilvl w:val="0"/>
          <w:numId w:val="1"/>
        </w:numPr>
        <w:ind w:left="-567" w:right="-897"/>
        <w:rPr>
          <w:rFonts w:cs="Arial"/>
        </w:rPr>
      </w:pPr>
      <w:hyperlink r:id="rId13" w:tgtFrame="_blank" w:history="1">
        <w:r w:rsidRPr="005950D7">
          <w:rPr>
            <w:rStyle w:val="Hyperlink"/>
            <w:rFonts w:cs="Arial"/>
            <w:color w:val="auto"/>
          </w:rPr>
          <w:t>https://youtu.be/-AMgdgFq9EM</w:t>
        </w:r>
      </w:hyperlink>
    </w:p>
    <w:p w14:paraId="3A908F32" w14:textId="77777777" w:rsidR="005950D7" w:rsidRPr="005950D7" w:rsidRDefault="005950D7" w:rsidP="006F4E5E">
      <w:pPr>
        <w:pStyle w:val="ListParagraph"/>
        <w:numPr>
          <w:ilvl w:val="0"/>
          <w:numId w:val="1"/>
        </w:numPr>
        <w:ind w:left="-567" w:right="-897"/>
        <w:rPr>
          <w:rFonts w:cs="Arial"/>
          <w:lang w:val="de-DE"/>
        </w:rPr>
      </w:pPr>
      <w:hyperlink r:id="rId14" w:history="1">
        <w:proofErr w:type="spellStart"/>
        <w:r w:rsidRPr="005950D7">
          <w:rPr>
            <w:rStyle w:val="Hyperlink"/>
            <w:rFonts w:cs="Arial"/>
            <w:color w:val="auto"/>
            <w:lang w:val="de-DE"/>
          </w:rPr>
          <w:t>Vaccin</w:t>
        </w:r>
        <w:proofErr w:type="spellEnd"/>
        <w:r w:rsidRPr="005950D7">
          <w:rPr>
            <w:rStyle w:val="Hyperlink"/>
            <w:rFonts w:cs="Arial"/>
            <w:color w:val="auto"/>
            <w:lang w:val="de-DE"/>
          </w:rPr>
          <w:t xml:space="preserve"> HPV (e-bug.eu)</w:t>
        </w:r>
      </w:hyperlink>
    </w:p>
    <w:p w14:paraId="5BF05E68" w14:textId="6AA11F62" w:rsidR="005950D7" w:rsidRPr="006F4E5E" w:rsidRDefault="005950D7" w:rsidP="006F4E5E">
      <w:pPr>
        <w:pStyle w:val="ListParagraph"/>
        <w:numPr>
          <w:ilvl w:val="0"/>
          <w:numId w:val="1"/>
        </w:numPr>
        <w:ind w:left="-567" w:right="-897"/>
        <w:rPr>
          <w:rFonts w:cs="Arial"/>
        </w:rPr>
      </w:pPr>
      <w:hyperlink r:id="rId15" w:history="1">
        <w:r w:rsidRPr="005950D7">
          <w:rPr>
            <w:rStyle w:val="Hyperlink"/>
            <w:rFonts w:cs="Arial"/>
            <w:color w:val="auto"/>
          </w:rPr>
          <w:t>Est-ce qu’il y a des vaccins contre les IST ? (</w:t>
        </w:r>
        <w:proofErr w:type="gramStart"/>
        <w:r w:rsidRPr="005950D7">
          <w:rPr>
            <w:rStyle w:val="Hyperlink"/>
            <w:rFonts w:cs="Arial"/>
            <w:color w:val="auto"/>
          </w:rPr>
          <w:t>onsexprime.fr</w:t>
        </w:r>
        <w:proofErr w:type="gramEnd"/>
        <w:r w:rsidRPr="005950D7">
          <w:rPr>
            <w:rStyle w:val="Hyperlink"/>
            <w:rFonts w:cs="Arial"/>
            <w:color w:val="auto"/>
          </w:rPr>
          <w:t>)</w:t>
        </w:r>
      </w:hyperlink>
    </w:p>
    <w:p w14:paraId="2F6299E4" w14:textId="77777777" w:rsidR="005950D7" w:rsidRPr="006F4E5E" w:rsidRDefault="005950D7" w:rsidP="006F4E5E">
      <w:pPr>
        <w:pStyle w:val="Heading2"/>
        <w:ind w:left="-284" w:right="-897"/>
        <w:rPr>
          <w:rFonts w:ascii="Arial" w:hAnsi="Arial" w:cs="Arial"/>
          <w:b/>
          <w:bCs/>
          <w:color w:val="auto"/>
        </w:rPr>
      </w:pPr>
      <w:r w:rsidRPr="006F4E5E">
        <w:rPr>
          <w:rFonts w:ascii="Arial" w:hAnsi="Arial" w:cs="Arial"/>
          <w:b/>
          <w:bCs/>
          <w:color w:val="auto"/>
        </w:rPr>
        <w:t>Aperçu des ressources proposées</w:t>
      </w:r>
    </w:p>
    <w:p w14:paraId="74B69F0F" w14:textId="77777777" w:rsidR="005950D7" w:rsidRPr="006F4E5E" w:rsidRDefault="005950D7" w:rsidP="006F4E5E">
      <w:pPr>
        <w:pStyle w:val="Heading2"/>
        <w:numPr>
          <w:ilvl w:val="0"/>
          <w:numId w:val="3"/>
        </w:numPr>
        <w:tabs>
          <w:tab w:val="num" w:pos="360"/>
        </w:tabs>
        <w:ind w:left="-284" w:right="-897" w:firstLine="0"/>
        <w:rPr>
          <w:rFonts w:ascii="Arial" w:hAnsi="Arial" w:cs="Arial"/>
          <w:b/>
          <w:bCs/>
          <w:color w:val="auto"/>
        </w:rPr>
      </w:pPr>
      <w:r w:rsidRPr="006F4E5E">
        <w:rPr>
          <w:rFonts w:ascii="Arial" w:hAnsi="Arial" w:cs="Arial"/>
          <w:b/>
          <w:bCs/>
          <w:color w:val="auto"/>
        </w:rPr>
        <w:t>Pour introduire ou synthétiser</w:t>
      </w:r>
    </w:p>
    <w:p w14:paraId="1D00FD7C" w14:textId="77777777" w:rsidR="005950D7" w:rsidRPr="005950D7" w:rsidRDefault="005950D7" w:rsidP="006F4E5E">
      <w:pPr>
        <w:keepNext/>
        <w:spacing w:before="240" w:after="60"/>
        <w:ind w:left="-284" w:right="-897"/>
        <w:outlineLvl w:val="1"/>
        <w:rPr>
          <w:rFonts w:eastAsia="Times New Roman" w:cs="Arial"/>
          <w:bCs/>
          <w:iCs/>
          <w:szCs w:val="28"/>
        </w:rPr>
      </w:pPr>
      <w:r w:rsidRPr="005950D7">
        <w:rPr>
          <w:rFonts w:eastAsia="Times New Roman" w:cs="Arial"/>
          <w:bCs/>
          <w:iCs/>
          <w:szCs w:val="28"/>
        </w:rPr>
        <w:t>-Le diaporama : ce support regroupe l’ensemble des informations essentielles concernant les HPV et la vaccination. Il peut être utilisé en fin d’apprentissage pour reprendre les notions vues, ou en début d’apprentissage pour la présentation du thème.</w:t>
      </w:r>
    </w:p>
    <w:p w14:paraId="4A093B6A" w14:textId="77777777" w:rsidR="005950D7" w:rsidRPr="005950D7" w:rsidRDefault="005950D7" w:rsidP="006F4E5E">
      <w:pPr>
        <w:spacing w:after="0"/>
        <w:ind w:right="-897"/>
        <w:rPr>
          <w:rFonts w:eastAsia="Times New Roman" w:cs="Arial"/>
          <w:bCs/>
          <w:iCs/>
          <w:szCs w:val="28"/>
        </w:rPr>
      </w:pPr>
      <w:r w:rsidRPr="005950D7">
        <w:rPr>
          <w:rFonts w:eastAsia="Times New Roman" w:cs="Arial"/>
          <w:bCs/>
          <w:iCs/>
          <w:szCs w:val="28"/>
        </w:rPr>
        <w:br w:type="page"/>
      </w:r>
    </w:p>
    <w:p w14:paraId="5F392247" w14:textId="77777777" w:rsidR="005950D7" w:rsidRPr="005950D7" w:rsidRDefault="005950D7" w:rsidP="006F4E5E">
      <w:pPr>
        <w:keepNext/>
        <w:spacing w:before="240" w:after="60"/>
        <w:ind w:left="-567" w:right="-897"/>
        <w:outlineLvl w:val="1"/>
        <w:rPr>
          <w:rFonts w:eastAsia="Times New Roman" w:cs="Arial"/>
          <w:bCs/>
          <w:iCs/>
          <w:szCs w:val="28"/>
        </w:rPr>
      </w:pPr>
      <w:r w:rsidRPr="005950D7">
        <w:rPr>
          <w:rFonts w:cs="Arial"/>
          <w:b/>
          <w:noProof/>
          <w:sz w:val="28"/>
          <w:szCs w:val="28"/>
          <w:lang w:eastAsia="fr-FR"/>
        </w:rPr>
        <w:lastRenderedPageBreak/>
        <mc:AlternateContent>
          <mc:Choice Requires="wps">
            <w:drawing>
              <wp:anchor distT="0" distB="0" distL="114300" distR="114300" simplePos="0" relativeHeight="251663360" behindDoc="1" locked="0" layoutInCell="1" allowOverlap="1" wp14:anchorId="46DDCE69" wp14:editId="29B27972">
                <wp:simplePos x="0" y="0"/>
                <wp:positionH relativeFrom="margin">
                  <wp:align>center</wp:align>
                </wp:positionH>
                <wp:positionV relativeFrom="paragraph">
                  <wp:posOffset>28575</wp:posOffset>
                </wp:positionV>
                <wp:extent cx="7000875" cy="9534525"/>
                <wp:effectExtent l="19050" t="19050" r="28575" b="28575"/>
                <wp:wrapNone/>
                <wp:docPr id="1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95345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E2A56" id="Rectangle 2" o:spid="_x0000_s1026" alt="&quot;&quot;" style="position:absolute;margin-left:0;margin-top:2.25pt;width:551.25pt;height:750.7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" filled="f" strokecolor="#1f396c" strokeweight="2.25pt">
                <v:path arrowok="t"/>
                <w10:wrap anchorx="margin"/>
              </v:rect>
            </w:pict>
          </mc:Fallback>
        </mc:AlternateContent>
      </w:r>
    </w:p>
    <w:p w14:paraId="2DE4F6A7" w14:textId="77777777" w:rsidR="005950D7" w:rsidRPr="005950D7" w:rsidRDefault="005950D7" w:rsidP="006F4E5E">
      <w:pPr>
        <w:keepNext/>
        <w:spacing w:before="240" w:after="60"/>
        <w:ind w:left="-567" w:right="-897"/>
        <w:outlineLvl w:val="1"/>
        <w:rPr>
          <w:rFonts w:eastAsia="Times New Roman" w:cs="Arial"/>
          <w:bCs/>
          <w:iCs/>
          <w:szCs w:val="28"/>
        </w:rPr>
      </w:pPr>
      <w:r w:rsidRPr="005950D7">
        <w:rPr>
          <w:rFonts w:eastAsia="Times New Roman" w:cs="Arial"/>
          <w:bCs/>
          <w:iCs/>
          <w:szCs w:val="28"/>
        </w:rPr>
        <w:t>-Le quiz : ce test peut être réalisé en classe ou à la maison. C’est une manière ludique de tester ses connaissances et de reprendre les notions essentielles à connaître. Les réponses se trouvent dans les fiches infos élèves. A la maison, le quiz peut être le moyen d’aborder le sujet en famille.</w:t>
      </w:r>
    </w:p>
    <w:p w14:paraId="43D73DFC" w14:textId="77777777" w:rsidR="005950D7" w:rsidRPr="006F4E5E" w:rsidRDefault="005950D7" w:rsidP="006F4E5E">
      <w:pPr>
        <w:pStyle w:val="Heading2"/>
        <w:numPr>
          <w:ilvl w:val="0"/>
          <w:numId w:val="3"/>
        </w:numPr>
        <w:tabs>
          <w:tab w:val="num" w:pos="360"/>
        </w:tabs>
        <w:ind w:left="-567" w:right="-897" w:firstLine="0"/>
        <w:rPr>
          <w:rFonts w:ascii="Arial" w:hAnsi="Arial" w:cs="Arial"/>
          <w:b/>
          <w:bCs/>
          <w:color w:val="auto"/>
        </w:rPr>
      </w:pPr>
      <w:r w:rsidRPr="006F4E5E">
        <w:rPr>
          <w:rFonts w:ascii="Arial" w:hAnsi="Arial" w:cs="Arial"/>
          <w:b/>
          <w:bCs/>
          <w:color w:val="auto"/>
        </w:rPr>
        <w:t>Fiches d’information</w:t>
      </w:r>
    </w:p>
    <w:p w14:paraId="3371B3CE" w14:textId="77777777" w:rsidR="005950D7" w:rsidRPr="005950D7" w:rsidRDefault="005950D7" w:rsidP="006F4E5E">
      <w:pPr>
        <w:ind w:left="-567" w:right="-897"/>
        <w:rPr>
          <w:rFonts w:cs="Arial"/>
        </w:rPr>
      </w:pPr>
    </w:p>
    <w:p w14:paraId="2C0BB5B6" w14:textId="77777777" w:rsidR="005950D7" w:rsidRPr="005950D7" w:rsidRDefault="005950D7" w:rsidP="006F4E5E">
      <w:pPr>
        <w:numPr>
          <w:ilvl w:val="0"/>
          <w:numId w:val="2"/>
        </w:numPr>
        <w:spacing w:after="0"/>
        <w:ind w:left="-567" w:right="-897"/>
        <w:contextualSpacing/>
        <w:rPr>
          <w:rFonts w:cs="Arial"/>
          <w:szCs w:val="24"/>
        </w:rPr>
      </w:pPr>
      <w:r w:rsidRPr="005950D7">
        <w:rPr>
          <w:rFonts w:cs="Arial"/>
          <w:szCs w:val="24"/>
        </w:rPr>
        <w:t xml:space="preserve">La fiche infos professionnels : ce support est à destination de l’ensemble des professionnels en contact avec le public (élèves, parents, grand public). Il regroupe des informations essentielles concernant l’infection par les papillomavirus. Vous y trouverez également des sites internet fiables pour approfondir vos connaissances et la mise à jour des données. </w:t>
      </w:r>
      <w:r w:rsidRPr="005950D7">
        <w:rPr>
          <w:rFonts w:cs="Arial"/>
          <w:szCs w:val="24"/>
        </w:rPr>
        <w:br/>
        <w:t>Ce support peut vous permettre d’acquérir ou de renforcer vos connaissances pour intervenir auprès des élèves et répondre à leurs interrogations, ainsi qu’à celles de leurs parents.</w:t>
      </w:r>
    </w:p>
    <w:p w14:paraId="5846D2B8" w14:textId="77777777" w:rsidR="005950D7" w:rsidRPr="005950D7" w:rsidRDefault="005950D7" w:rsidP="006F4E5E">
      <w:pPr>
        <w:spacing w:after="0"/>
        <w:ind w:left="-567" w:right="-897"/>
        <w:contextualSpacing/>
        <w:rPr>
          <w:rFonts w:cs="Arial"/>
          <w:szCs w:val="24"/>
        </w:rPr>
      </w:pPr>
    </w:p>
    <w:p w14:paraId="300EC140" w14:textId="77777777" w:rsidR="005950D7" w:rsidRPr="005950D7" w:rsidRDefault="005950D7" w:rsidP="006F4E5E">
      <w:pPr>
        <w:numPr>
          <w:ilvl w:val="0"/>
          <w:numId w:val="2"/>
        </w:numPr>
        <w:spacing w:after="0"/>
        <w:ind w:left="-567" w:right="-897"/>
        <w:contextualSpacing/>
        <w:rPr>
          <w:rFonts w:cs="Arial"/>
          <w:szCs w:val="24"/>
        </w:rPr>
      </w:pPr>
      <w:r w:rsidRPr="005950D7">
        <w:rPr>
          <w:rFonts w:cs="Arial"/>
          <w:szCs w:val="24"/>
        </w:rPr>
        <w:t>La fiche infos élèves : ce support est à destination des élèves. Il peut être lu et expliqué en classe afin de fournir à l’élève l’ensemble des informations nécessaires pour comprendre l’intérêt de la vaccination, répondre au quiz et pouvoir mieux participer aux activités. Il peut aussi être donné en guise de synthèse après les différentes activités.</w:t>
      </w:r>
    </w:p>
    <w:p w14:paraId="41187703" w14:textId="77777777" w:rsidR="005950D7" w:rsidRPr="005950D7" w:rsidRDefault="005950D7" w:rsidP="006F4E5E">
      <w:pPr>
        <w:ind w:left="-567" w:right="-897"/>
        <w:contextualSpacing/>
        <w:rPr>
          <w:rFonts w:cs="Arial"/>
          <w:szCs w:val="24"/>
        </w:rPr>
      </w:pPr>
    </w:p>
    <w:p w14:paraId="629A81DC" w14:textId="77777777" w:rsidR="005950D7" w:rsidRPr="005950D7" w:rsidRDefault="005950D7" w:rsidP="006F4E5E">
      <w:pPr>
        <w:numPr>
          <w:ilvl w:val="0"/>
          <w:numId w:val="2"/>
        </w:numPr>
        <w:ind w:left="-567" w:right="-897"/>
        <w:contextualSpacing/>
        <w:rPr>
          <w:rFonts w:cs="Arial"/>
        </w:rPr>
      </w:pPr>
      <w:r w:rsidRPr="005950D7">
        <w:rPr>
          <w:rFonts w:cs="Arial"/>
        </w:rPr>
        <w:t>Les fiches infos parents : ce support est à communiquer aux parents dans le but d’une coéducation sur le sujet. C’est un moyen de prolonger la réflexion au sein des familles et de partager avec les parents l’enseignement réalisé en classe.</w:t>
      </w:r>
    </w:p>
    <w:p w14:paraId="5C74B19B" w14:textId="77777777" w:rsidR="005950D7" w:rsidRPr="005950D7" w:rsidRDefault="005950D7" w:rsidP="006F4E5E">
      <w:pPr>
        <w:ind w:left="-567" w:right="-897"/>
        <w:contextualSpacing/>
        <w:rPr>
          <w:rFonts w:cs="Arial"/>
        </w:rPr>
      </w:pPr>
    </w:p>
    <w:p w14:paraId="03CE7B9A" w14:textId="77777777" w:rsidR="005950D7" w:rsidRPr="006F4E5E" w:rsidRDefault="005950D7" w:rsidP="006F4E5E">
      <w:pPr>
        <w:pStyle w:val="Heading2"/>
        <w:numPr>
          <w:ilvl w:val="0"/>
          <w:numId w:val="3"/>
        </w:numPr>
        <w:tabs>
          <w:tab w:val="num" w:pos="360"/>
        </w:tabs>
        <w:ind w:left="-567" w:right="-897" w:firstLine="0"/>
        <w:rPr>
          <w:rFonts w:ascii="Arial" w:hAnsi="Arial" w:cs="Arial"/>
          <w:b/>
          <w:bCs/>
          <w:color w:val="auto"/>
        </w:rPr>
      </w:pPr>
      <w:r w:rsidRPr="006F4E5E">
        <w:rPr>
          <w:rFonts w:ascii="Arial" w:hAnsi="Arial" w:cs="Arial"/>
          <w:b/>
          <w:bCs/>
          <w:color w:val="auto"/>
        </w:rPr>
        <w:t>Activités</w:t>
      </w:r>
    </w:p>
    <w:p w14:paraId="236872D4" w14:textId="77777777" w:rsidR="005950D7" w:rsidRPr="005950D7" w:rsidRDefault="005950D7" w:rsidP="006F4E5E">
      <w:pPr>
        <w:ind w:left="-567" w:right="-897"/>
        <w:rPr>
          <w:rFonts w:cs="Arial"/>
        </w:rPr>
      </w:pPr>
    </w:p>
    <w:p w14:paraId="7909E51C" w14:textId="77777777" w:rsidR="005950D7" w:rsidRPr="005950D7" w:rsidRDefault="005950D7" w:rsidP="006F4E5E">
      <w:pPr>
        <w:numPr>
          <w:ilvl w:val="0"/>
          <w:numId w:val="2"/>
        </w:numPr>
        <w:ind w:left="-567" w:right="-897"/>
        <w:contextualSpacing/>
        <w:rPr>
          <w:rFonts w:cs="Arial"/>
          <w:u w:val="single"/>
        </w:rPr>
      </w:pPr>
      <w:r w:rsidRPr="005950D7">
        <w:rPr>
          <w:rFonts w:cs="Arial"/>
        </w:rPr>
        <w:t>Scénarios d’efficacité vaccinale : ce support peut être utilisé en cours de sciences ou de mathématiques. L’élève compare 2 populations, l’une vaccinée et l’autre non, en effectuant des calculs de pourcentages. L’élève constatera le rôle de la vaccination dans la protection contre les HPV.</w:t>
      </w:r>
    </w:p>
    <w:p w14:paraId="0BA768EC" w14:textId="77777777" w:rsidR="005950D7" w:rsidRPr="005950D7" w:rsidRDefault="005950D7" w:rsidP="006F4E5E">
      <w:pPr>
        <w:ind w:left="-567" w:right="-897"/>
        <w:contextualSpacing/>
        <w:rPr>
          <w:rFonts w:cs="Arial"/>
          <w:u w:val="single"/>
        </w:rPr>
      </w:pPr>
    </w:p>
    <w:p w14:paraId="3070E20E" w14:textId="77777777" w:rsidR="005950D7" w:rsidRPr="005950D7" w:rsidRDefault="005950D7" w:rsidP="006F4E5E">
      <w:pPr>
        <w:numPr>
          <w:ilvl w:val="0"/>
          <w:numId w:val="2"/>
        </w:numPr>
        <w:ind w:left="-567" w:right="-897"/>
        <w:contextualSpacing/>
        <w:rPr>
          <w:rFonts w:cs="Arial"/>
          <w:u w:val="single"/>
        </w:rPr>
      </w:pPr>
      <w:r w:rsidRPr="005950D7">
        <w:rPr>
          <w:rFonts w:cs="Arial"/>
        </w:rPr>
        <w:t>Le blason : il s’agit d’un travail individuel et / ou collectif pour favoriser le débat d’idées entre les élèves. Ce support permet de révéler les connaissances et les représentations concernant la vaccination et plus particulièrement celle contre les HPV. Cette activité peut avoir recours à une expression plus artistique (dessin, collage, …) qui peut être plus efficace pour des élèves moins affines à une entrée scientifique.</w:t>
      </w:r>
      <w:r w:rsidRPr="005950D7">
        <w:rPr>
          <w:rFonts w:cs="Arial"/>
        </w:rPr>
        <w:br/>
        <w:t>Lors d’un travail collectif, le blason élaboré par la classe pourrait être retravaillé en cours d’arts plastiques pour la réalisation d’une affiche d’informations sur la vaccination contre le HPV.</w:t>
      </w:r>
    </w:p>
    <w:p w14:paraId="759CEF07" w14:textId="77777777" w:rsidR="005950D7" w:rsidRPr="005950D7" w:rsidRDefault="005950D7" w:rsidP="005950D7">
      <w:pPr>
        <w:pStyle w:val="ListParagraph"/>
        <w:rPr>
          <w:rFonts w:cs="Arial"/>
          <w:u w:val="single"/>
        </w:rPr>
      </w:pPr>
    </w:p>
    <w:p w14:paraId="208AC55F" w14:textId="77777777" w:rsidR="005950D7" w:rsidRPr="005950D7" w:rsidRDefault="005950D7" w:rsidP="005950D7">
      <w:pPr>
        <w:contextualSpacing/>
        <w:rPr>
          <w:rFonts w:cs="Arial"/>
          <w:u w:val="single"/>
        </w:rPr>
      </w:pPr>
    </w:p>
    <w:p w14:paraId="06C2A1A9" w14:textId="60370F9F" w:rsidR="005950D7" w:rsidRPr="005950D7" w:rsidRDefault="006F4E5E" w:rsidP="005950D7">
      <w:pPr>
        <w:contextualSpacing/>
        <w:rPr>
          <w:rFonts w:cs="Arial"/>
          <w:u w:val="single"/>
        </w:rPr>
      </w:pPr>
      <w:r w:rsidRPr="005950D7">
        <w:rPr>
          <w:rFonts w:cs="Arial"/>
          <w:noProof/>
          <w:lang w:eastAsia="fr-FR"/>
        </w:rPr>
        <w:lastRenderedPageBreak/>
        <mc:AlternateContent>
          <mc:Choice Requires="wps">
            <w:drawing>
              <wp:anchor distT="0" distB="0" distL="114300" distR="114300" simplePos="0" relativeHeight="251661312" behindDoc="1" locked="0" layoutInCell="1" allowOverlap="1" wp14:anchorId="497C7964" wp14:editId="57E9DBEA">
                <wp:simplePos x="0" y="0"/>
                <wp:positionH relativeFrom="margin">
                  <wp:align>center</wp:align>
                </wp:positionH>
                <wp:positionV relativeFrom="paragraph">
                  <wp:posOffset>80010</wp:posOffset>
                </wp:positionV>
                <wp:extent cx="7077075" cy="9658350"/>
                <wp:effectExtent l="19050" t="19050" r="28575" b="19050"/>
                <wp:wrapNone/>
                <wp:docPr id="168351612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075" cy="96583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0BAF0" id="Rectangle 2" o:spid="_x0000_s1026" alt="&quot;&quot;" style="position:absolute;margin-left:0;margin-top:6.3pt;width:557.25pt;height:760.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" filled="f" strokecolor="#1f396c" strokeweight="2.25pt">
                <v:path arrowok="t"/>
                <w10:wrap anchorx="margin"/>
              </v:rect>
            </w:pict>
          </mc:Fallback>
        </mc:AlternateContent>
      </w:r>
    </w:p>
    <w:p w14:paraId="73C08331" w14:textId="6874B455" w:rsidR="005950D7" w:rsidRPr="005950D7" w:rsidRDefault="005950D7" w:rsidP="006F4E5E">
      <w:pPr>
        <w:ind w:left="-567" w:right="-897"/>
        <w:contextualSpacing/>
        <w:rPr>
          <w:rFonts w:cs="Arial"/>
          <w:u w:val="single"/>
        </w:rPr>
      </w:pPr>
    </w:p>
    <w:p w14:paraId="3B75F4D9" w14:textId="77777777" w:rsidR="005950D7" w:rsidRPr="005950D7" w:rsidRDefault="005950D7" w:rsidP="006F4E5E">
      <w:pPr>
        <w:numPr>
          <w:ilvl w:val="0"/>
          <w:numId w:val="2"/>
        </w:numPr>
        <w:ind w:left="-567" w:right="-897"/>
        <w:contextualSpacing/>
        <w:rPr>
          <w:rFonts w:cs="Arial"/>
        </w:rPr>
      </w:pPr>
      <w:r w:rsidRPr="005950D7">
        <w:rPr>
          <w:rFonts w:cs="Arial"/>
        </w:rPr>
        <w:t xml:space="preserve">Décrypter l’information : Cette activité repose sur des phrases réelles principalement tirées des réseaux sociaux. Elle encourage les élèves à remettre en question la véracité des déclarations en évaluant la fiabilité des sources et l’expertise de l’auteur. Les élèves réfléchiront seuls puis en groupe pour déterminer s’il s’agit d’une information, d’une infox ou d’une information incomplète ou erronée. </w:t>
      </w:r>
    </w:p>
    <w:p w14:paraId="373F0106" w14:textId="77777777" w:rsidR="005950D7" w:rsidRPr="005950D7" w:rsidRDefault="005950D7" w:rsidP="006F4E5E">
      <w:pPr>
        <w:ind w:left="-567" w:right="-897"/>
        <w:contextualSpacing/>
        <w:rPr>
          <w:rFonts w:cs="Arial"/>
        </w:rPr>
      </w:pPr>
    </w:p>
    <w:p w14:paraId="07171501" w14:textId="77777777" w:rsidR="005950D7" w:rsidRPr="005950D7" w:rsidRDefault="005950D7" w:rsidP="006F4E5E">
      <w:pPr>
        <w:numPr>
          <w:ilvl w:val="0"/>
          <w:numId w:val="2"/>
        </w:numPr>
        <w:ind w:left="-567" w:right="-897"/>
        <w:contextualSpacing/>
        <w:rPr>
          <w:rFonts w:cs="Arial"/>
          <w:u w:val="single"/>
        </w:rPr>
      </w:pPr>
      <w:r w:rsidRPr="005950D7">
        <w:rPr>
          <w:rFonts w:cs="Arial"/>
        </w:rPr>
        <w:t>La campagne vaccinale : il s’agit d’un support à utiliser en groupe puis en classe entière pour encourager le débat d’idée sur ce qui pourrait faire échouer une campagne vaccinale en favorisant l’expression de fausses croyances sur la vaccination HPV et en faisant émerger les besoins des élèves. Les élèves réfléchiront ensuite sur les actions nécessaires pour que la campagne vaccinale soit une réussite.</w:t>
      </w:r>
    </w:p>
    <w:p w14:paraId="1B8D8854" w14:textId="77777777" w:rsidR="005950D7" w:rsidRPr="005950D7" w:rsidRDefault="005950D7" w:rsidP="006F4E5E">
      <w:pPr>
        <w:spacing w:after="0"/>
        <w:ind w:left="-567" w:right="-897"/>
        <w:rPr>
          <w:rFonts w:eastAsia="Arial" w:cs="Arial"/>
        </w:rPr>
      </w:pPr>
    </w:p>
    <w:p w14:paraId="1FB3C480" w14:textId="77777777" w:rsidR="005950D7" w:rsidRPr="006F4E5E" w:rsidRDefault="005950D7" w:rsidP="006F4E5E">
      <w:pPr>
        <w:pStyle w:val="Heading2"/>
        <w:ind w:left="-567" w:right="-897"/>
        <w:rPr>
          <w:rFonts w:ascii="Arial" w:eastAsia="Arial" w:hAnsi="Arial" w:cs="Arial"/>
          <w:b/>
          <w:bCs/>
          <w:color w:val="auto"/>
        </w:rPr>
      </w:pPr>
      <w:r w:rsidRPr="006F4E5E">
        <w:rPr>
          <w:rFonts w:ascii="Arial" w:eastAsia="Arial" w:hAnsi="Arial" w:cs="Arial"/>
          <w:b/>
          <w:bCs/>
          <w:color w:val="auto"/>
        </w:rPr>
        <w:t>Proposition de séquence (résumé)</w:t>
      </w:r>
    </w:p>
    <w:p w14:paraId="4E862F00" w14:textId="77777777" w:rsidR="005950D7" w:rsidRPr="005950D7" w:rsidRDefault="005950D7" w:rsidP="006F4E5E">
      <w:pPr>
        <w:ind w:left="-567" w:right="-897"/>
        <w:rPr>
          <w:rFonts w:cs="Arial"/>
        </w:rPr>
      </w:pPr>
    </w:p>
    <w:p w14:paraId="0CC5FE4D" w14:textId="77777777" w:rsidR="005950D7" w:rsidRPr="005950D7" w:rsidRDefault="005950D7" w:rsidP="006F4E5E">
      <w:pPr>
        <w:ind w:left="-567" w:right="-897"/>
        <w:rPr>
          <w:rFonts w:cs="Arial"/>
        </w:rPr>
      </w:pPr>
      <w:r w:rsidRPr="005950D7">
        <w:rPr>
          <w:rFonts w:cs="Arial"/>
        </w:rPr>
        <w:t>Vous trouverez une version détaillée dans le document plan de séquence.</w:t>
      </w:r>
    </w:p>
    <w:p w14:paraId="22B987A6" w14:textId="77777777" w:rsidR="005950D7" w:rsidRPr="005950D7" w:rsidRDefault="005950D7" w:rsidP="006F4E5E">
      <w:pPr>
        <w:ind w:left="-567" w:right="-897"/>
        <w:rPr>
          <w:rFonts w:cs="Arial"/>
        </w:rPr>
      </w:pPr>
      <w:r w:rsidRPr="005950D7">
        <w:rPr>
          <w:rFonts w:eastAsia="Arial" w:cs="Arial"/>
        </w:rPr>
        <w:t xml:space="preserve">L’objectif de cette leçon est d’alerter les élèves sur les dangers d’une exposition aux HPV et d’informer sur les moyens de prévention qui existent. Ce sujet offre une opportunité d’aborder l’éducation aux médias (EMI) et de favoriser l’interdisciplinarité en intégrant des compétences artistiques et langagières. </w:t>
      </w:r>
      <w:r w:rsidRPr="005950D7">
        <w:rPr>
          <w:rFonts w:cs="Arial"/>
        </w:rPr>
        <w:t>Ce travail peut trouver sa place dans un atelier sur le thème « corps, santé, bien-être et sécurité </w:t>
      </w:r>
      <w:bookmarkStart w:id="1" w:name="_Hlk201214496"/>
      <w:r w:rsidRPr="005950D7">
        <w:rPr>
          <w:rFonts w:cs="Arial"/>
        </w:rPr>
        <w:t xml:space="preserve">» </w:t>
      </w:r>
      <w:bookmarkEnd w:id="1"/>
      <w:r w:rsidRPr="005950D7">
        <w:rPr>
          <w:rFonts w:cs="Arial"/>
        </w:rPr>
        <w:t>ou « Sciences, technologie et société, information, communication, citoyenneté ». </w:t>
      </w:r>
    </w:p>
    <w:p w14:paraId="42959D35" w14:textId="77777777" w:rsidR="005950D7" w:rsidRPr="005950D7" w:rsidRDefault="005950D7" w:rsidP="006F4E5E">
      <w:pPr>
        <w:ind w:left="-567" w:right="-897"/>
        <w:rPr>
          <w:rFonts w:cs="Arial"/>
        </w:rPr>
      </w:pPr>
      <w:r w:rsidRPr="005950D7">
        <w:rPr>
          <w:rFonts w:cs="Arial"/>
        </w:rPr>
        <w:t xml:space="preserve">Pour enrichir davantage cette perspective, une collaboration avec l’infirmière/infirmier </w:t>
      </w:r>
      <w:proofErr w:type="gramStart"/>
      <w:r w:rsidRPr="005950D7">
        <w:rPr>
          <w:rFonts w:cs="Arial"/>
        </w:rPr>
        <w:t>scolaire  peut</w:t>
      </w:r>
      <w:proofErr w:type="gramEnd"/>
      <w:r w:rsidRPr="005950D7">
        <w:rPr>
          <w:rFonts w:cs="Arial"/>
        </w:rPr>
        <w:t xml:space="preserve"> être envisagée afin de renforcer le parcours éducatif de santé et d’apporter un approche inter catégorielle.</w:t>
      </w:r>
    </w:p>
    <w:p w14:paraId="00BCD30C" w14:textId="77777777" w:rsidR="005950D7" w:rsidRPr="005950D7" w:rsidRDefault="005950D7" w:rsidP="006F4E5E">
      <w:pPr>
        <w:ind w:left="-567" w:right="-897"/>
        <w:rPr>
          <w:rFonts w:cs="Arial"/>
        </w:rPr>
      </w:pPr>
      <w:r w:rsidRPr="005950D7">
        <w:rPr>
          <w:rFonts w:cs="Arial"/>
        </w:rPr>
        <w:t>Différentes fiches d’information peuvent être utilisées pour renforcer les connaissances de l’enseignant, informer les élèves ou les familles.</w:t>
      </w:r>
    </w:p>
    <w:p w14:paraId="66F93033" w14:textId="77777777" w:rsidR="005950D7" w:rsidRPr="005950D7" w:rsidRDefault="005950D7" w:rsidP="006F4E5E">
      <w:pPr>
        <w:ind w:left="-567" w:right="-897"/>
        <w:rPr>
          <w:rFonts w:cs="Arial"/>
        </w:rPr>
      </w:pPr>
      <w:r w:rsidRPr="005950D7">
        <w:rPr>
          <w:rFonts w:cs="Arial"/>
        </w:rPr>
        <w:t>En introduction, le diaporama permet de présenter à la classe l’ensemble des informations utiles et de recueillir les premières questions des élèves sur le sujet.</w:t>
      </w:r>
    </w:p>
    <w:p w14:paraId="00BB0141" w14:textId="77777777" w:rsidR="005950D7" w:rsidRPr="005950D7" w:rsidRDefault="005950D7" w:rsidP="006F4E5E">
      <w:pPr>
        <w:ind w:left="-567" w:right="-897"/>
        <w:rPr>
          <w:rFonts w:cs="Arial"/>
        </w:rPr>
      </w:pPr>
      <w:r w:rsidRPr="005950D7">
        <w:rPr>
          <w:rFonts w:cs="Arial"/>
        </w:rPr>
        <w:t>Il est possible de choisir parmi les 4 activités proposées celles qui conviendront le mieux au niveau choisi et à la progression de l’enseignant. Les activités sur le blason et les scénarios d’efficacité vaccinale sont les plus adaptées aux élèves de 13 ans.</w:t>
      </w:r>
    </w:p>
    <w:p w14:paraId="212BC8B2" w14:textId="77777777" w:rsidR="005950D7" w:rsidRPr="005950D7" w:rsidRDefault="005950D7" w:rsidP="005950D7">
      <w:pPr>
        <w:rPr>
          <w:rFonts w:cs="Arial"/>
        </w:rPr>
      </w:pPr>
    </w:p>
    <w:p w14:paraId="27BF2357" w14:textId="77777777" w:rsidR="005950D7" w:rsidRPr="005950D7" w:rsidRDefault="005950D7" w:rsidP="005950D7">
      <w:pPr>
        <w:rPr>
          <w:rFonts w:cs="Arial"/>
        </w:rPr>
      </w:pPr>
    </w:p>
    <w:p w14:paraId="06627A3A" w14:textId="77777777" w:rsidR="005950D7" w:rsidRPr="005950D7" w:rsidRDefault="005950D7" w:rsidP="005950D7">
      <w:pPr>
        <w:rPr>
          <w:rFonts w:cs="Arial"/>
        </w:rPr>
      </w:pPr>
    </w:p>
    <w:p w14:paraId="0AF7BB92" w14:textId="77777777" w:rsidR="005950D7" w:rsidRPr="005950D7" w:rsidRDefault="005950D7" w:rsidP="006F4E5E">
      <w:pPr>
        <w:ind w:left="-851" w:right="-897"/>
        <w:rPr>
          <w:rFonts w:cs="Arial"/>
        </w:rPr>
      </w:pPr>
      <w:r w:rsidRPr="005950D7">
        <w:rPr>
          <w:rFonts w:cs="Arial"/>
          <w:noProof/>
          <w:lang w:eastAsia="fr-FR"/>
        </w:rPr>
        <w:lastRenderedPageBreak/>
        <mc:AlternateContent>
          <mc:Choice Requires="wps">
            <w:drawing>
              <wp:anchor distT="0" distB="0" distL="114300" distR="114300" simplePos="0" relativeHeight="251664384" behindDoc="1" locked="0" layoutInCell="1" allowOverlap="1" wp14:anchorId="76A7AF69" wp14:editId="35A84887">
                <wp:simplePos x="0" y="0"/>
                <wp:positionH relativeFrom="margin">
                  <wp:align>center</wp:align>
                </wp:positionH>
                <wp:positionV relativeFrom="paragraph">
                  <wp:posOffset>24006</wp:posOffset>
                </wp:positionV>
                <wp:extent cx="7038975" cy="9505950"/>
                <wp:effectExtent l="19050" t="19050" r="28575" b="19050"/>
                <wp:wrapNone/>
                <wp:docPr id="1683516141" name="Rectangle 1683516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059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79B32" id="Rectangle 1683516141" o:spid="_x0000_s1026" alt="&quot;&quot;" style="position:absolute;margin-left:0;margin-top:1.9pt;width:554.25pt;height:748.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" filled="f" strokecolor="#1f396c" strokeweight="2.25pt">
                <v:path arrowok="t"/>
                <w10:wrap anchorx="margin"/>
              </v:rect>
            </w:pict>
          </mc:Fallback>
        </mc:AlternateContent>
      </w:r>
    </w:p>
    <w:p w14:paraId="5CE381DD" w14:textId="77777777" w:rsidR="005950D7" w:rsidRPr="005950D7" w:rsidRDefault="005950D7" w:rsidP="006F4E5E">
      <w:pPr>
        <w:ind w:left="-851" w:right="-897"/>
        <w:rPr>
          <w:rFonts w:cs="Arial"/>
        </w:rPr>
      </w:pPr>
      <w:r w:rsidRPr="005950D7">
        <w:rPr>
          <w:rFonts w:cs="Arial"/>
        </w:rPr>
        <w:t xml:space="preserve">L’activité décrypter l’information repose sur des phrases réelles principalement tirées des réseaux sociaux. Elle encourage les élèves à remettre en question la véracité des déclarations en évaluant la fiabilité des sources et l’expertise de l’auteur. Cette activité ludique permet d’encourager le débat d’idée sur ce qui pourrait faire échouer une campagne vaccinale en favorisant l’expression de fausses croyances sur la vaccination HPV et en faisant émerger les besoins des élèves. Cette approche met l’accent sur plusieurs points essentiels : encourager le développement de l’esprit critique, fournir des sources scientifiques fiables et établir un lien avec l’argumentation scientifique. Cette activité offre également l’occasion d’insister sur l’importance de la protection individuelle ET collective et peut servir d’introduction à la discussion sur la campagne de vaccination en aidant à identifier les obstacles et les peurs qui sont souvent à l’origine de la propagation de fausses informations en ligne.  </w:t>
      </w:r>
    </w:p>
    <w:p w14:paraId="1EF9F379" w14:textId="77777777" w:rsidR="005950D7" w:rsidRPr="005950D7" w:rsidRDefault="005950D7" w:rsidP="006F4E5E">
      <w:pPr>
        <w:spacing w:after="0" w:line="240" w:lineRule="auto"/>
        <w:ind w:left="-851" w:right="-897"/>
        <w:rPr>
          <w:rFonts w:cs="Arial"/>
        </w:rPr>
      </w:pPr>
      <w:r w:rsidRPr="005950D7">
        <w:rPr>
          <w:rFonts w:cs="Arial"/>
        </w:rPr>
        <w:t>Les élèves réfléchiront ensuite sur les actions nécessaires pour que la campagne vaccinale soit une réussite. Cela permettra éventuellement de faire un lien avec le recours au dépistage des IST, du VIH.</w:t>
      </w:r>
    </w:p>
    <w:p w14:paraId="75FE29EB" w14:textId="77777777" w:rsidR="005950D7" w:rsidRPr="005950D7" w:rsidRDefault="005950D7" w:rsidP="006F4E5E">
      <w:pPr>
        <w:ind w:left="-851" w:right="-897"/>
        <w:rPr>
          <w:rFonts w:cs="Arial"/>
        </w:rPr>
      </w:pPr>
      <w:r w:rsidRPr="005950D7">
        <w:rPr>
          <w:rFonts w:cs="Arial"/>
        </w:rPr>
        <w:t xml:space="preserve">Un glossaire est disponible dans les activités complémentaires afin d’aider les élèves </w:t>
      </w:r>
      <w:proofErr w:type="spellStart"/>
      <w:proofErr w:type="gramStart"/>
      <w:r w:rsidRPr="005950D7">
        <w:rPr>
          <w:rFonts w:cs="Arial"/>
        </w:rPr>
        <w:t>a</w:t>
      </w:r>
      <w:proofErr w:type="spellEnd"/>
      <w:proofErr w:type="gramEnd"/>
      <w:r w:rsidRPr="005950D7">
        <w:rPr>
          <w:rFonts w:cs="Arial"/>
        </w:rPr>
        <w:t xml:space="preserve"> acquérir un vocabulaire souvent nouveau, en particulier les élèves de 13- 14 ans.</w:t>
      </w:r>
    </w:p>
    <w:p w14:paraId="329B08B8" w14:textId="77777777" w:rsidR="005950D7" w:rsidRPr="005950D7" w:rsidRDefault="005950D7" w:rsidP="006F4E5E">
      <w:pPr>
        <w:ind w:left="-851" w:right="-897"/>
        <w:rPr>
          <w:rFonts w:cs="Arial"/>
        </w:rPr>
      </w:pPr>
      <w:r w:rsidRPr="005950D7">
        <w:rPr>
          <w:rFonts w:cs="Arial"/>
        </w:rPr>
        <w:t>En conclusion, le quiz permet de vérifier l’acquisition des connaissances de façon ludique et de reprendre les notions essentielles à connaître.</w:t>
      </w:r>
    </w:p>
    <w:p w14:paraId="00AA4780" w14:textId="77777777" w:rsidR="005950D7" w:rsidRPr="005950D7" w:rsidRDefault="005950D7" w:rsidP="006F4E5E">
      <w:pPr>
        <w:ind w:left="-851" w:right="-897"/>
        <w:rPr>
          <w:rFonts w:cs="Arial"/>
        </w:rPr>
      </w:pPr>
      <w:r w:rsidRPr="005950D7">
        <w:rPr>
          <w:rFonts w:cs="Arial"/>
        </w:rPr>
        <w:t>Vous pouvez utiliser/adapter ces ressources à votre convenance (format World modifiable). L’ordre de la séquence et la répartition en classe entière ou en groupes sont proposés à titre indicatif. Vous pouvez tout à fait les adapter en fonction de vos besoins et de vos contraintes.</w:t>
      </w:r>
    </w:p>
    <w:bookmarkEnd w:id="0"/>
    <w:p w14:paraId="1FD6B562" w14:textId="73ADD513" w:rsidR="006D6003" w:rsidRPr="005950D7" w:rsidRDefault="006D6003" w:rsidP="006F4E5E">
      <w:pPr>
        <w:spacing w:after="0" w:line="240" w:lineRule="auto"/>
        <w:rPr>
          <w:rFonts w:cs="Arial"/>
        </w:rPr>
      </w:pPr>
    </w:p>
    <w:sectPr w:rsidR="006D6003" w:rsidRPr="005950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DDD4" w14:textId="77777777" w:rsidR="005950D7" w:rsidRDefault="005950D7" w:rsidP="005950D7">
      <w:pPr>
        <w:spacing w:after="0" w:line="240" w:lineRule="auto"/>
      </w:pPr>
      <w:r>
        <w:separator/>
      </w:r>
    </w:p>
  </w:endnote>
  <w:endnote w:type="continuationSeparator" w:id="0">
    <w:p w14:paraId="50E04306" w14:textId="77777777" w:rsidR="005950D7" w:rsidRDefault="005950D7" w:rsidP="0059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737C" w14:textId="77777777" w:rsidR="005950D7" w:rsidRDefault="005950D7" w:rsidP="005950D7">
      <w:pPr>
        <w:spacing w:after="0" w:line="240" w:lineRule="auto"/>
      </w:pPr>
      <w:r>
        <w:separator/>
      </w:r>
    </w:p>
  </w:footnote>
  <w:footnote w:type="continuationSeparator" w:id="0">
    <w:p w14:paraId="22D0BCA6" w14:textId="77777777" w:rsidR="005950D7" w:rsidRDefault="005950D7" w:rsidP="00595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04D82"/>
    <w:multiLevelType w:val="hybridMultilevel"/>
    <w:tmpl w:val="04C8D15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61845B44"/>
    <w:multiLevelType w:val="hybridMultilevel"/>
    <w:tmpl w:val="8258D9EE"/>
    <w:lvl w:ilvl="0" w:tplc="1564157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3E05D7"/>
    <w:multiLevelType w:val="hybridMultilevel"/>
    <w:tmpl w:val="88662F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04044434">
    <w:abstractNumId w:val="1"/>
  </w:num>
  <w:num w:numId="2" w16cid:durableId="576209731">
    <w:abstractNumId w:val="0"/>
  </w:num>
  <w:num w:numId="3" w16cid:durableId="185206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D7"/>
    <w:rsid w:val="00564922"/>
    <w:rsid w:val="005950D7"/>
    <w:rsid w:val="006D6003"/>
    <w:rsid w:val="006F4E5E"/>
    <w:rsid w:val="00C11EBE"/>
    <w:rsid w:val="00D2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531C"/>
  <w15:chartTrackingRefBased/>
  <w15:docId w15:val="{A79B0E72-97A5-4180-820E-6F5ED36B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0D7"/>
    <w:pPr>
      <w:spacing w:after="200" w:line="276" w:lineRule="auto"/>
    </w:pPr>
    <w:rPr>
      <w:rFonts w:ascii="Arial" w:eastAsia="Calibri" w:hAnsi="Arial" w:cs="Times New Roman"/>
      <w:kern w:val="0"/>
      <w:szCs w:val="22"/>
      <w:lang w:val="fr-FR"/>
      <w14:ligatures w14:val="none"/>
    </w:rPr>
  </w:style>
  <w:style w:type="paragraph" w:styleId="Heading1">
    <w:name w:val="heading 1"/>
    <w:basedOn w:val="Normal"/>
    <w:next w:val="Normal"/>
    <w:link w:val="Heading1Char"/>
    <w:uiPriority w:val="9"/>
    <w:qFormat/>
    <w:rsid w:val="00595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5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5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0D7"/>
    <w:rPr>
      <w:rFonts w:eastAsiaTheme="majorEastAsia" w:cstheme="majorBidi"/>
      <w:color w:val="272727" w:themeColor="text1" w:themeTint="D8"/>
    </w:rPr>
  </w:style>
  <w:style w:type="paragraph" w:styleId="Title">
    <w:name w:val="Title"/>
    <w:basedOn w:val="Normal"/>
    <w:next w:val="Normal"/>
    <w:link w:val="TitleChar"/>
    <w:uiPriority w:val="10"/>
    <w:qFormat/>
    <w:rsid w:val="00595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0D7"/>
    <w:pPr>
      <w:spacing w:before="160"/>
      <w:jc w:val="center"/>
    </w:pPr>
    <w:rPr>
      <w:i/>
      <w:iCs/>
      <w:color w:val="404040" w:themeColor="text1" w:themeTint="BF"/>
    </w:rPr>
  </w:style>
  <w:style w:type="character" w:customStyle="1" w:styleId="QuoteChar">
    <w:name w:val="Quote Char"/>
    <w:basedOn w:val="DefaultParagraphFont"/>
    <w:link w:val="Quote"/>
    <w:uiPriority w:val="29"/>
    <w:rsid w:val="005950D7"/>
    <w:rPr>
      <w:i/>
      <w:iCs/>
      <w:color w:val="404040" w:themeColor="text1" w:themeTint="BF"/>
    </w:rPr>
  </w:style>
  <w:style w:type="paragraph" w:styleId="ListParagraph">
    <w:name w:val="List Paragraph"/>
    <w:basedOn w:val="Normal"/>
    <w:uiPriority w:val="34"/>
    <w:qFormat/>
    <w:rsid w:val="005950D7"/>
    <w:pPr>
      <w:ind w:left="720"/>
      <w:contextualSpacing/>
    </w:pPr>
  </w:style>
  <w:style w:type="character" w:styleId="IntenseEmphasis">
    <w:name w:val="Intense Emphasis"/>
    <w:basedOn w:val="DefaultParagraphFont"/>
    <w:uiPriority w:val="21"/>
    <w:qFormat/>
    <w:rsid w:val="005950D7"/>
    <w:rPr>
      <w:i/>
      <w:iCs/>
      <w:color w:val="0F4761" w:themeColor="accent1" w:themeShade="BF"/>
    </w:rPr>
  </w:style>
  <w:style w:type="paragraph" w:styleId="IntenseQuote">
    <w:name w:val="Intense Quote"/>
    <w:basedOn w:val="Normal"/>
    <w:next w:val="Normal"/>
    <w:link w:val="IntenseQuoteChar"/>
    <w:uiPriority w:val="30"/>
    <w:qFormat/>
    <w:rsid w:val="00595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0D7"/>
    <w:rPr>
      <w:i/>
      <w:iCs/>
      <w:color w:val="0F4761" w:themeColor="accent1" w:themeShade="BF"/>
    </w:rPr>
  </w:style>
  <w:style w:type="character" w:styleId="IntenseReference">
    <w:name w:val="Intense Reference"/>
    <w:basedOn w:val="DefaultParagraphFont"/>
    <w:uiPriority w:val="32"/>
    <w:qFormat/>
    <w:rsid w:val="005950D7"/>
    <w:rPr>
      <w:b/>
      <w:bCs/>
      <w:smallCaps/>
      <w:color w:val="0F4761" w:themeColor="accent1" w:themeShade="BF"/>
      <w:spacing w:val="5"/>
    </w:rPr>
  </w:style>
  <w:style w:type="character" w:styleId="Hyperlink">
    <w:name w:val="Hyperlink"/>
    <w:uiPriority w:val="99"/>
    <w:rsid w:val="005950D7"/>
    <w:rPr>
      <w:color w:val="0000FF"/>
      <w:u w:val="single"/>
    </w:rPr>
  </w:style>
  <w:style w:type="paragraph" w:styleId="Footer">
    <w:name w:val="footer"/>
    <w:basedOn w:val="Normal"/>
    <w:link w:val="FooterChar"/>
    <w:uiPriority w:val="99"/>
    <w:unhideWhenUsed/>
    <w:rsid w:val="005950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50D7"/>
    <w:rPr>
      <w:rFonts w:ascii="Arial" w:eastAsia="Calibri" w:hAnsi="Arial" w:cs="Times New Roman"/>
      <w:kern w:val="0"/>
      <w:szCs w:val="22"/>
      <w:lang w:val="fr-FR"/>
      <w14:ligatures w14:val="none"/>
    </w:rPr>
  </w:style>
  <w:style w:type="paragraph" w:styleId="Header">
    <w:name w:val="header"/>
    <w:basedOn w:val="Normal"/>
    <w:link w:val="HeaderChar"/>
    <w:uiPriority w:val="99"/>
    <w:unhideWhenUsed/>
    <w:rsid w:val="00595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0D7"/>
    <w:rPr>
      <w:rFonts w:ascii="Arial" w:eastAsia="Calibri" w:hAnsi="Arial" w:cs="Times New Roman"/>
      <w:kern w:val="0"/>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presse/2023/semaine-europeenne-de-la-vaccination-sev-du-24-au-30-avril-2023-la-vaccination-pour-tous" TargetMode="External"/><Relationship Id="rId13" Type="http://schemas.openxmlformats.org/officeDocument/2006/relationships/hyperlink" Target="https://youtu.be/-AMgdgFq9E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ns.public.lu/fr/assure/remboursements/prestations-remboursees/vaccinatio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cer.lu/fr/restez-en-bonne-sante/vaccination" TargetMode="External"/><Relationship Id="rId5" Type="http://schemas.openxmlformats.org/officeDocument/2006/relationships/footnotes" Target="footnotes.xml"/><Relationship Id="rId15" Type="http://schemas.openxmlformats.org/officeDocument/2006/relationships/hyperlink" Target="https://www.onsexprime.fr/se-proteger/ist-mst-comment-s-en-proteger/est-ce-qu-il-y-a-des-vaccins-contre-les-ist" TargetMode="External"/><Relationship Id="rId10" Type="http://schemas.openxmlformats.org/officeDocument/2006/relationships/hyperlink" Target="https://santesecu.public.lu/fr/espace-citoyen/dossiers-thematiques/v/vaccination/calendrier-vaccinal.html" TargetMode="External"/><Relationship Id="rId4" Type="http://schemas.openxmlformats.org/officeDocument/2006/relationships/webSettings" Target="webSettings.xml"/><Relationship Id="rId9" Type="http://schemas.openxmlformats.org/officeDocument/2006/relationships/hyperlink" Target="https://www.hpvinfo.lu/la-vaccination/" TargetMode="External"/><Relationship Id="rId14" Type="http://schemas.openxmlformats.org/officeDocument/2006/relationships/hyperlink" Target="https://e-bug.eu/fr-FR/vaccin-h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2025-07-16T08:47:00Z</dcterms:created>
  <dcterms:modified xsi:type="dcterms:W3CDTF">2025-07-16T09:11:00Z</dcterms:modified>
</cp:coreProperties>
</file>