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6133" w14:textId="77777777" w:rsidR="008608BC" w:rsidRPr="00D90202" w:rsidRDefault="008608BC" w:rsidP="008608BC">
      <w:pPr>
        <w:pStyle w:val="Heading1"/>
        <w:spacing w:before="0" w:after="0" w:line="240" w:lineRule="auto"/>
        <w:jc w:val="center"/>
        <w:rPr>
          <w:rFonts w:ascii="Arial" w:hAnsi="Arial" w:cs="Arial"/>
          <w:b/>
          <w:bCs/>
          <w:color w:val="auto"/>
          <w:lang w:val="fr-FR"/>
        </w:rPr>
      </w:pPr>
      <w:r w:rsidRPr="00D90202">
        <w:rPr>
          <w:rFonts w:ascii="Arial" w:hAnsi="Arial" w:cs="Arial"/>
          <w:b/>
          <w:bCs/>
          <w:color w:val="auto"/>
          <w:lang w:val="fr-FR"/>
        </w:rPr>
        <w:t>1.3 Le microbiote</w:t>
      </w:r>
    </w:p>
    <w:p w14:paraId="3D1249AD" w14:textId="6A702A5C" w:rsidR="008608BC" w:rsidRPr="008608BC" w:rsidRDefault="008608BC" w:rsidP="008608BC">
      <w:pPr>
        <w:pStyle w:val="Heading1"/>
        <w:spacing w:before="0" w:after="0" w:line="240" w:lineRule="auto"/>
        <w:jc w:val="center"/>
        <w:rPr>
          <w:rFonts w:ascii="Arial" w:hAnsi="Arial" w:cs="Arial"/>
          <w:b/>
          <w:bCs/>
          <w:color w:val="auto"/>
          <w:sz w:val="36"/>
          <w:lang w:val="fr-FR"/>
        </w:rPr>
      </w:pPr>
      <w:r w:rsidRPr="008608BC">
        <w:rPr>
          <w:rFonts w:ascii="Arial" w:hAnsi="Arial" w:cs="Arial"/>
          <w:b/>
          <w:bCs/>
          <w:color w:val="auto"/>
          <w:sz w:val="36"/>
          <w:lang w:val="fr-FR"/>
        </w:rPr>
        <w:t>Activités complémentaires - Guide enseignant (GE4)</w:t>
      </w:r>
    </w:p>
    <w:p w14:paraId="647FBB46" w14:textId="6C160DA5" w:rsidR="008608BC" w:rsidRPr="008608BC" w:rsidRDefault="008608BC" w:rsidP="008608BC">
      <w:pPr>
        <w:pStyle w:val="Heading1"/>
        <w:spacing w:before="0" w:after="0" w:line="240" w:lineRule="auto"/>
        <w:rPr>
          <w:rFonts w:ascii="Arial" w:hAnsi="Arial" w:cs="Arial"/>
          <w:color w:val="auto"/>
          <w:sz w:val="24"/>
          <w:szCs w:val="24"/>
          <w:lang w:val="fr-FR"/>
        </w:rPr>
      </w:pPr>
      <w:r w:rsidRPr="008608BC">
        <w:rPr>
          <w:rFonts w:ascii="Arial" w:hAnsi="Arial" w:cs="Arial"/>
          <w:noProof/>
          <w:color w:val="auto"/>
          <w:lang w:eastAsia="fr-FR"/>
        </w:rPr>
        <w:drawing>
          <wp:anchor distT="0" distB="0" distL="114300" distR="114300" simplePos="0" relativeHeight="251660288" behindDoc="0" locked="0" layoutInCell="1" allowOverlap="1" wp14:anchorId="13FC6615" wp14:editId="2F5D4669">
            <wp:simplePos x="0" y="0"/>
            <wp:positionH relativeFrom="rightMargin">
              <wp:align>left</wp:align>
            </wp:positionH>
            <wp:positionV relativeFrom="paragraph">
              <wp:posOffset>9525</wp:posOffset>
            </wp:positionV>
            <wp:extent cx="772160" cy="692785"/>
            <wp:effectExtent l="0" t="0" r="8890" b="0"/>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8BC">
        <w:rPr>
          <w:rFonts w:ascii="Arial" w:hAnsi="Arial" w:cs="Arial"/>
          <w:noProof/>
          <w:color w:val="auto"/>
          <w:lang w:eastAsia="fr-FR"/>
        </w:rPr>
        <mc:AlternateContent>
          <mc:Choice Requires="wps">
            <w:drawing>
              <wp:anchor distT="0" distB="0" distL="114300" distR="114300" simplePos="0" relativeHeight="251659264" behindDoc="1" locked="0" layoutInCell="1" allowOverlap="1" wp14:anchorId="6C3DCB95" wp14:editId="37819D03">
                <wp:simplePos x="0" y="0"/>
                <wp:positionH relativeFrom="margin">
                  <wp:align>center</wp:align>
                </wp:positionH>
                <wp:positionV relativeFrom="paragraph">
                  <wp:posOffset>138430</wp:posOffset>
                </wp:positionV>
                <wp:extent cx="7038975" cy="8506046"/>
                <wp:effectExtent l="19050" t="19050" r="28575" b="28575"/>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0604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CC1" id="Rectangle 2" o:spid="_x0000_s1026" alt="&quot;&quot;" style="position:absolute;margin-left:0;margin-top:10.9pt;width:554.25pt;height:669.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" filled="f" strokecolor="#1f396c" strokeweight="2.25pt">
                <v:path arrowok="t"/>
                <w10:wrap anchorx="margin"/>
              </v:rect>
            </w:pict>
          </mc:Fallback>
        </mc:AlternateContent>
      </w:r>
    </w:p>
    <w:p w14:paraId="13405089" w14:textId="2D86EAFE" w:rsidR="008608BC" w:rsidRPr="008608BC" w:rsidRDefault="008608BC" w:rsidP="008608BC">
      <w:pPr>
        <w:pStyle w:val="Heading2"/>
        <w:spacing w:before="0" w:after="0" w:line="240" w:lineRule="auto"/>
        <w:ind w:left="-851"/>
        <w:rPr>
          <w:rFonts w:ascii="Arial" w:hAnsi="Arial" w:cs="Arial"/>
          <w:b/>
          <w:bCs/>
          <w:iCs/>
          <w:color w:val="auto"/>
          <w:lang w:val="fr-FR"/>
        </w:rPr>
      </w:pPr>
      <w:r w:rsidRPr="008608BC">
        <w:rPr>
          <w:rFonts w:ascii="Arial" w:hAnsi="Arial" w:cs="Arial"/>
          <w:b/>
          <w:bCs/>
          <w:color w:val="auto"/>
          <w:lang w:val="fr-FR"/>
        </w:rPr>
        <w:t>Activités complémentaires</w:t>
      </w:r>
    </w:p>
    <w:p w14:paraId="255E6506" w14:textId="77777777" w:rsidR="008608BC" w:rsidRPr="008608BC" w:rsidRDefault="008608BC" w:rsidP="008608BC">
      <w:pPr>
        <w:spacing w:after="0" w:line="240" w:lineRule="auto"/>
        <w:ind w:left="-851"/>
        <w:rPr>
          <w:rFonts w:ascii="Arial" w:hAnsi="Arial" w:cs="Arial"/>
          <w:sz w:val="24"/>
          <w:szCs w:val="24"/>
        </w:rPr>
      </w:pPr>
      <w:r w:rsidRPr="008608BC">
        <w:rPr>
          <w:rFonts w:ascii="Arial" w:hAnsi="Arial" w:cs="Arial"/>
          <w:sz w:val="24"/>
          <w:szCs w:val="24"/>
        </w:rPr>
        <w:t>1.</w:t>
      </w:r>
      <w:r w:rsidRPr="008608BC">
        <w:rPr>
          <w:rFonts w:ascii="Arial" w:hAnsi="Arial" w:cs="Arial"/>
          <w:sz w:val="24"/>
          <w:szCs w:val="24"/>
        </w:rPr>
        <w:tab/>
        <w:t>Demander aux élèves de décrire les localisations du microbiote à l’aide du schéma ci-dessous.</w:t>
      </w:r>
    </w:p>
    <w:p w14:paraId="31565512" w14:textId="77777777" w:rsidR="008608BC" w:rsidRPr="008608BC" w:rsidRDefault="008608BC" w:rsidP="008608BC">
      <w:pPr>
        <w:spacing w:after="0" w:line="240" w:lineRule="auto"/>
        <w:ind w:left="-851"/>
        <w:rPr>
          <w:rFonts w:ascii="Arial" w:hAnsi="Arial" w:cs="Arial"/>
          <w:sz w:val="24"/>
          <w:szCs w:val="24"/>
        </w:rPr>
      </w:pPr>
      <w:r w:rsidRPr="008608BC">
        <w:rPr>
          <w:rFonts w:ascii="Arial" w:hAnsi="Arial" w:cs="Arial"/>
          <w:sz w:val="24"/>
          <w:szCs w:val="24"/>
        </w:rPr>
        <w:t>2.</w:t>
      </w:r>
      <w:r w:rsidRPr="008608BC">
        <w:rPr>
          <w:rFonts w:ascii="Arial" w:hAnsi="Arial" w:cs="Arial"/>
          <w:sz w:val="24"/>
          <w:szCs w:val="24"/>
        </w:rPr>
        <w:tab/>
        <w:t xml:space="preserve">Proposer aux élèves </w:t>
      </w:r>
      <w:proofErr w:type="gramStart"/>
      <w:r w:rsidRPr="008608BC">
        <w:rPr>
          <w:rFonts w:ascii="Arial" w:hAnsi="Arial" w:cs="Arial"/>
          <w:sz w:val="24"/>
          <w:szCs w:val="24"/>
        </w:rPr>
        <w:t>de faire</w:t>
      </w:r>
      <w:proofErr w:type="gramEnd"/>
      <w:r w:rsidRPr="008608BC">
        <w:rPr>
          <w:rFonts w:ascii="Arial" w:hAnsi="Arial" w:cs="Arial"/>
          <w:sz w:val="24"/>
          <w:szCs w:val="24"/>
        </w:rPr>
        <w:t xml:space="preserve"> des recherches sur internet (liens ci-dessous) et de construire (en groupe ou individuellement) un schéma/poster sur la symbiose entre le microbiote intestinal et notre organisme, en soulignant les échanges de part et d’autre de la muqueuse intestinale et le profit tiré par chacun. Inclure la définition de symbiose (voir glossaire).</w:t>
      </w:r>
    </w:p>
    <w:p w14:paraId="580A6EBA" w14:textId="77777777" w:rsidR="008608BC" w:rsidRPr="008608BC" w:rsidRDefault="008608BC" w:rsidP="008608BC">
      <w:pPr>
        <w:spacing w:after="0" w:line="240" w:lineRule="auto"/>
        <w:ind w:left="-851"/>
        <w:rPr>
          <w:rFonts w:ascii="Arial" w:hAnsi="Arial" w:cs="Arial"/>
          <w:sz w:val="24"/>
          <w:szCs w:val="24"/>
        </w:rPr>
      </w:pPr>
      <w:proofErr w:type="gramStart"/>
      <w:r w:rsidRPr="008608BC">
        <w:rPr>
          <w:rFonts w:ascii="Arial" w:hAnsi="Arial" w:cs="Arial"/>
          <w:sz w:val="24"/>
          <w:szCs w:val="24"/>
        </w:rPr>
        <w:t>Commentaire:</w:t>
      </w:r>
      <w:proofErr w:type="gramEnd"/>
      <w:r w:rsidRPr="008608BC">
        <w:rPr>
          <w:rFonts w:ascii="Arial" w:hAnsi="Arial" w:cs="Arial"/>
          <w:sz w:val="24"/>
          <w:szCs w:val="24"/>
        </w:rPr>
        <w:t xml:space="preserve"> le microbiote constitue pour l’hôte une protection contre les pathogènes, une aide à la digestion, la synthèse de vitamines. Pour les bactéries, c’est une source alimentaire, un milieu favorable à leur survie. </w:t>
      </w:r>
    </w:p>
    <w:p w14:paraId="2346B196" w14:textId="77777777" w:rsidR="008608BC" w:rsidRPr="008608BC" w:rsidRDefault="008608BC" w:rsidP="008608BC">
      <w:pPr>
        <w:spacing w:after="0" w:line="240" w:lineRule="auto"/>
        <w:ind w:left="-851"/>
        <w:rPr>
          <w:rFonts w:ascii="Arial" w:hAnsi="Arial" w:cs="Arial"/>
          <w:sz w:val="24"/>
          <w:szCs w:val="24"/>
        </w:rPr>
      </w:pPr>
      <w:r w:rsidRPr="008608BC">
        <w:rPr>
          <w:rFonts w:ascii="Arial" w:hAnsi="Arial" w:cs="Arial"/>
          <w:sz w:val="24"/>
          <w:szCs w:val="24"/>
        </w:rPr>
        <w:t>3.</w:t>
      </w:r>
      <w:r w:rsidRPr="008608BC">
        <w:rPr>
          <w:rFonts w:ascii="Arial" w:hAnsi="Arial" w:cs="Arial"/>
          <w:sz w:val="24"/>
          <w:szCs w:val="24"/>
        </w:rPr>
        <w:tab/>
        <w:t>Proposer aux élèves de calculer le poids d’une personne de 50 kg si les cellules microbiennes étaient aussi grosses que les cellules humaines.</w:t>
      </w:r>
    </w:p>
    <w:p w14:paraId="6A177D10" w14:textId="77777777" w:rsidR="008608BC" w:rsidRPr="008608BC" w:rsidRDefault="008608BC" w:rsidP="008608BC">
      <w:pPr>
        <w:spacing w:after="0" w:line="240" w:lineRule="auto"/>
        <w:ind w:left="-851"/>
        <w:rPr>
          <w:rFonts w:ascii="Arial" w:hAnsi="Arial" w:cs="Arial"/>
          <w:sz w:val="24"/>
          <w:szCs w:val="24"/>
        </w:rPr>
      </w:pPr>
      <w:r w:rsidRPr="008608BC">
        <w:rPr>
          <w:rFonts w:ascii="Arial" w:hAnsi="Arial" w:cs="Arial"/>
          <w:sz w:val="24"/>
          <w:szCs w:val="24"/>
        </w:rPr>
        <w:t xml:space="preserve">Commentaire : les cellules bactériennes sont dix fois plus nombreuses que les cellules humaines, le poids de la personne serait donc 50-2=48(poids des cellules humaines), 48+(48x10) (poids du microbiote) =528 kg </w:t>
      </w:r>
    </w:p>
    <w:p w14:paraId="2225CA26" w14:textId="77777777" w:rsidR="008608BC" w:rsidRPr="008608BC" w:rsidRDefault="008608BC" w:rsidP="008608BC">
      <w:pPr>
        <w:spacing w:after="0" w:line="240" w:lineRule="auto"/>
        <w:ind w:left="-851"/>
        <w:rPr>
          <w:rFonts w:ascii="Arial" w:hAnsi="Arial" w:cs="Arial"/>
          <w:sz w:val="24"/>
          <w:szCs w:val="24"/>
        </w:rPr>
      </w:pPr>
      <w:r w:rsidRPr="008608BC">
        <w:rPr>
          <w:rFonts w:ascii="Arial" w:hAnsi="Arial" w:cs="Arial"/>
          <w:sz w:val="24"/>
          <w:szCs w:val="24"/>
        </w:rPr>
        <w:t>4.</w:t>
      </w:r>
      <w:r w:rsidRPr="008608BC">
        <w:rPr>
          <w:rFonts w:ascii="Arial" w:hAnsi="Arial" w:cs="Arial"/>
          <w:sz w:val="24"/>
          <w:szCs w:val="24"/>
        </w:rPr>
        <w:tab/>
        <w:t>Demander aux élèves de dessiner une silhouette humaine et de colorier uniquement la partie représentée par la proportion de cellules humaines.</w:t>
      </w:r>
    </w:p>
    <w:p w14:paraId="1EC8C689" w14:textId="77777777" w:rsidR="008608BC" w:rsidRPr="008608BC" w:rsidRDefault="008608BC" w:rsidP="008608BC">
      <w:pPr>
        <w:spacing w:after="0" w:line="240" w:lineRule="auto"/>
        <w:ind w:left="-851"/>
        <w:rPr>
          <w:rFonts w:ascii="Arial" w:hAnsi="Arial" w:cs="Arial"/>
          <w:sz w:val="24"/>
          <w:szCs w:val="24"/>
        </w:rPr>
      </w:pPr>
      <w:proofErr w:type="gramStart"/>
      <w:r w:rsidRPr="008608BC">
        <w:rPr>
          <w:rFonts w:ascii="Arial" w:hAnsi="Arial" w:cs="Arial"/>
          <w:sz w:val="24"/>
          <w:szCs w:val="24"/>
        </w:rPr>
        <w:t>Commentaire:</w:t>
      </w:r>
      <w:proofErr w:type="gramEnd"/>
      <w:r w:rsidRPr="008608BC">
        <w:rPr>
          <w:rFonts w:ascii="Arial" w:hAnsi="Arial" w:cs="Arial"/>
          <w:sz w:val="24"/>
          <w:szCs w:val="24"/>
        </w:rPr>
        <w:t xml:space="preserve"> 10%, soit l’équivalent de la partie inférieure de la jambe jusqu’au genou.</w:t>
      </w:r>
    </w:p>
    <w:p w14:paraId="17752820" w14:textId="77777777" w:rsidR="008608BC" w:rsidRPr="008608BC" w:rsidRDefault="008608BC" w:rsidP="008608BC">
      <w:pPr>
        <w:spacing w:after="0" w:line="240" w:lineRule="auto"/>
        <w:ind w:left="-851"/>
        <w:rPr>
          <w:rFonts w:ascii="Arial" w:hAnsi="Arial" w:cs="Arial"/>
          <w:sz w:val="24"/>
          <w:szCs w:val="24"/>
        </w:rPr>
      </w:pPr>
    </w:p>
    <w:p w14:paraId="04910981" w14:textId="77777777" w:rsidR="008608BC" w:rsidRPr="008608BC" w:rsidRDefault="008608BC" w:rsidP="008608BC">
      <w:pPr>
        <w:spacing w:after="0" w:line="240" w:lineRule="auto"/>
        <w:ind w:left="-851"/>
        <w:rPr>
          <w:rFonts w:ascii="Arial" w:hAnsi="Arial" w:cs="Arial"/>
          <w:sz w:val="24"/>
          <w:szCs w:val="24"/>
          <w:lang w:val="nl-NL"/>
        </w:rPr>
      </w:pPr>
      <w:hyperlink r:id="rId5" w:history="1">
        <w:r w:rsidRPr="008608BC">
          <w:rPr>
            <w:rStyle w:val="Hyperlink"/>
            <w:rFonts w:ascii="Arial" w:hAnsi="Arial" w:cs="Arial"/>
            <w:color w:val="auto"/>
            <w:sz w:val="24"/>
            <w:szCs w:val="24"/>
            <w:lang w:val="nl-NL"/>
          </w:rPr>
          <w:t>https://fr.wikipedia.org/wiki/Microbiote_intestinal_humain</w:t>
        </w:r>
      </w:hyperlink>
    </w:p>
    <w:p w14:paraId="4B263DFA" w14:textId="77777777" w:rsidR="008608BC" w:rsidRPr="008608BC" w:rsidRDefault="008608BC" w:rsidP="008608BC">
      <w:pPr>
        <w:spacing w:after="0" w:line="240" w:lineRule="auto"/>
        <w:ind w:left="-851"/>
        <w:rPr>
          <w:rFonts w:ascii="Arial" w:hAnsi="Arial" w:cs="Arial"/>
          <w:sz w:val="24"/>
          <w:szCs w:val="24"/>
          <w:lang w:val="nl-NL"/>
        </w:rPr>
      </w:pPr>
      <w:hyperlink r:id="rId6" w:history="1">
        <w:r w:rsidRPr="008608BC">
          <w:rPr>
            <w:rStyle w:val="Hyperlink"/>
            <w:rFonts w:ascii="Arial" w:hAnsi="Arial" w:cs="Arial"/>
            <w:color w:val="auto"/>
            <w:sz w:val="24"/>
            <w:szCs w:val="24"/>
            <w:lang w:val="nl-NL"/>
          </w:rPr>
          <w:t>http://www.inra.fr/Grand-public/Alimentation-et-sante/Tous-les-dossiers/Metagenome-intestinal</w:t>
        </w:r>
      </w:hyperlink>
    </w:p>
    <w:p w14:paraId="15248ECB" w14:textId="77777777" w:rsidR="008608BC" w:rsidRPr="008608BC" w:rsidRDefault="008608BC" w:rsidP="008608BC">
      <w:pPr>
        <w:spacing w:after="0" w:line="240" w:lineRule="auto"/>
        <w:ind w:left="-851"/>
        <w:rPr>
          <w:rStyle w:val="Hyperlink"/>
          <w:rFonts w:ascii="Arial" w:hAnsi="Arial" w:cs="Arial"/>
          <w:color w:val="auto"/>
          <w:sz w:val="24"/>
          <w:szCs w:val="24"/>
          <w:lang w:val="nl-NL"/>
        </w:rPr>
      </w:pPr>
      <w:hyperlink r:id="rId7" w:history="1">
        <w:r w:rsidRPr="008608BC">
          <w:rPr>
            <w:rStyle w:val="Hyperlink"/>
            <w:rFonts w:ascii="Arial" w:hAnsi="Arial" w:cs="Arial"/>
            <w:color w:val="auto"/>
            <w:sz w:val="24"/>
            <w:szCs w:val="24"/>
            <w:lang w:val="nl-NL"/>
          </w:rPr>
          <w:t>http://www.gutmicrobiotawatch.org/fr/home-fr/</w:t>
        </w:r>
      </w:hyperlink>
    </w:p>
    <w:p w14:paraId="3686B599" w14:textId="77777777" w:rsidR="008608BC" w:rsidRPr="008608BC" w:rsidRDefault="008608BC" w:rsidP="008608BC">
      <w:pPr>
        <w:spacing w:after="0" w:line="240" w:lineRule="auto"/>
        <w:ind w:left="-851"/>
        <w:rPr>
          <w:rFonts w:ascii="Arial" w:hAnsi="Arial" w:cs="Arial"/>
          <w:sz w:val="24"/>
          <w:szCs w:val="24"/>
          <w:lang w:val="nl-NL"/>
        </w:rPr>
      </w:pPr>
      <w:hyperlink r:id="rId8" w:history="1">
        <w:r w:rsidRPr="008608BC">
          <w:rPr>
            <w:rFonts w:ascii="Arial" w:hAnsi="Arial" w:cs="Arial"/>
            <w:sz w:val="24"/>
            <w:szCs w:val="24"/>
            <w:u w:val="single"/>
          </w:rPr>
          <w:t>Le microbiote et son rôle sur la digestion - Corpus - réseau Canopé (reseau-canope.fr)</w:t>
        </w:r>
      </w:hyperlink>
    </w:p>
    <w:p w14:paraId="77A5D7DE" w14:textId="38379A55" w:rsidR="006D6003" w:rsidRPr="008608BC" w:rsidRDefault="008608BC" w:rsidP="008608BC">
      <w:pPr>
        <w:spacing w:after="0" w:line="240" w:lineRule="auto"/>
        <w:ind w:left="-851"/>
        <w:rPr>
          <w:rFonts w:ascii="Arial" w:hAnsi="Arial" w:cs="Arial"/>
          <w:sz w:val="24"/>
          <w:szCs w:val="24"/>
        </w:rPr>
      </w:pPr>
      <w:r w:rsidRPr="008608BC">
        <w:rPr>
          <w:rFonts w:ascii="Arial" w:hAnsi="Arial" w:cs="Arial"/>
          <w:noProof/>
          <w:sz w:val="24"/>
          <w:szCs w:val="24"/>
          <w:lang w:eastAsia="fr-FR"/>
        </w:rPr>
        <w:drawing>
          <wp:inline distT="0" distB="0" distL="0" distR="0" wp14:anchorId="434C5256" wp14:editId="61FF87C1">
            <wp:extent cx="2650501" cy="3444949"/>
            <wp:effectExtent l="0" t="0" r="0" b="3175"/>
            <wp:docPr id="15" name="Image 15" descr="Schéma du corps humain légendé pour indiquer les différents muqueuses du corps hu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chéma du corps humain légendé pour indiquer les différents muqueuses du corps hum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1090" cy="3497704"/>
                    </a:xfrm>
                    <a:prstGeom prst="rect">
                      <a:avLst/>
                    </a:prstGeom>
                    <a:noFill/>
                  </pic:spPr>
                </pic:pic>
              </a:graphicData>
            </a:graphic>
          </wp:inline>
        </w:drawing>
      </w:r>
      <w:r w:rsidRPr="008608BC">
        <w:rPr>
          <w:rFonts w:ascii="Arial" w:hAnsi="Arial" w:cs="Arial"/>
          <w:sz w:val="24"/>
          <w:szCs w:val="24"/>
        </w:rPr>
        <w:t xml:space="preserve"> Image E. </w:t>
      </w:r>
      <w:proofErr w:type="spellStart"/>
      <w:r w:rsidRPr="008608BC">
        <w:rPr>
          <w:rFonts w:ascii="Arial" w:hAnsi="Arial" w:cs="Arial"/>
          <w:sz w:val="24"/>
          <w:szCs w:val="24"/>
        </w:rPr>
        <w:t>Bessoud</w:t>
      </w:r>
      <w:proofErr w:type="spellEnd"/>
      <w:r w:rsidRPr="008608BC">
        <w:rPr>
          <w:rFonts w:ascii="Arial" w:hAnsi="Arial" w:cs="Arial"/>
          <w:sz w:val="24"/>
          <w:szCs w:val="24"/>
        </w:rPr>
        <w:t>-Cavillot, académie de Grenoble</w:t>
      </w:r>
    </w:p>
    <w:sectPr w:rsidR="006D6003" w:rsidRPr="00860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BC"/>
    <w:rsid w:val="004778F0"/>
    <w:rsid w:val="00564922"/>
    <w:rsid w:val="006D6003"/>
    <w:rsid w:val="008608BC"/>
    <w:rsid w:val="00C11EBE"/>
    <w:rsid w:val="00D9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9541"/>
  <w15:chartTrackingRefBased/>
  <w15:docId w15:val="{0B9DEFD2-6526-4547-8B2B-DD4A9C99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BC"/>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8608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8608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608BC"/>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608BC"/>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608BC"/>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608BC"/>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608BC"/>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608BC"/>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608BC"/>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0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8BC"/>
    <w:rPr>
      <w:rFonts w:eastAsiaTheme="majorEastAsia" w:cstheme="majorBidi"/>
      <w:color w:val="272727" w:themeColor="text1" w:themeTint="D8"/>
    </w:rPr>
  </w:style>
  <w:style w:type="paragraph" w:styleId="Title">
    <w:name w:val="Title"/>
    <w:basedOn w:val="Normal"/>
    <w:next w:val="Normal"/>
    <w:link w:val="TitleChar"/>
    <w:uiPriority w:val="10"/>
    <w:qFormat/>
    <w:rsid w:val="008608B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6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8BC"/>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60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8BC"/>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608BC"/>
    <w:rPr>
      <w:i/>
      <w:iCs/>
      <w:color w:val="404040" w:themeColor="text1" w:themeTint="BF"/>
    </w:rPr>
  </w:style>
  <w:style w:type="paragraph" w:styleId="ListParagraph">
    <w:name w:val="List Paragraph"/>
    <w:basedOn w:val="Normal"/>
    <w:uiPriority w:val="34"/>
    <w:qFormat/>
    <w:rsid w:val="008608BC"/>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8608BC"/>
    <w:rPr>
      <w:i/>
      <w:iCs/>
      <w:color w:val="0F4761" w:themeColor="accent1" w:themeShade="BF"/>
    </w:rPr>
  </w:style>
  <w:style w:type="paragraph" w:styleId="IntenseQuote">
    <w:name w:val="Intense Quote"/>
    <w:basedOn w:val="Normal"/>
    <w:next w:val="Normal"/>
    <w:link w:val="IntenseQuoteChar"/>
    <w:uiPriority w:val="30"/>
    <w:qFormat/>
    <w:rsid w:val="008608B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608BC"/>
    <w:rPr>
      <w:i/>
      <w:iCs/>
      <w:color w:val="0F4761" w:themeColor="accent1" w:themeShade="BF"/>
    </w:rPr>
  </w:style>
  <w:style w:type="character" w:styleId="IntenseReference">
    <w:name w:val="Intense Reference"/>
    <w:basedOn w:val="DefaultParagraphFont"/>
    <w:uiPriority w:val="32"/>
    <w:qFormat/>
    <w:rsid w:val="008608BC"/>
    <w:rPr>
      <w:b/>
      <w:bCs/>
      <w:smallCaps/>
      <w:color w:val="0F4761" w:themeColor="accent1" w:themeShade="BF"/>
      <w:spacing w:val="5"/>
    </w:rPr>
  </w:style>
  <w:style w:type="character" w:styleId="Hyperlink">
    <w:name w:val="Hyperlink"/>
    <w:rsid w:val="00860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u-canope.fr/corpus/video/le-microbiote-et-son-role-sur-la-digestion-231.html" TargetMode="External"/><Relationship Id="rId3" Type="http://schemas.openxmlformats.org/officeDocument/2006/relationships/webSettings" Target="webSettings.xml"/><Relationship Id="rId7" Type="http://schemas.openxmlformats.org/officeDocument/2006/relationships/hyperlink" Target="http://www.gutmicrobiotawatch.org/fr/hom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ra.fr/Grand-public/Alimentation-et-sante/Tous-les-dossiers/Metagenome-intestinal" TargetMode="External"/><Relationship Id="rId11" Type="http://schemas.openxmlformats.org/officeDocument/2006/relationships/theme" Target="theme/theme1.xml"/><Relationship Id="rId5" Type="http://schemas.openxmlformats.org/officeDocument/2006/relationships/hyperlink" Target="https://fr.wikipedia.org/wiki/Microbiote_intestinal_humain"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3</cp:revision>
  <cp:lastPrinted>2025-07-11T09:51:00Z</cp:lastPrinted>
  <dcterms:created xsi:type="dcterms:W3CDTF">2025-07-11T09:49:00Z</dcterms:created>
  <dcterms:modified xsi:type="dcterms:W3CDTF">2025-07-11T09:51:00Z</dcterms:modified>
</cp:coreProperties>
</file>