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4BEE" w14:textId="77777777" w:rsidR="003A36C3" w:rsidRPr="003A36C3" w:rsidRDefault="003A36C3" w:rsidP="003A36C3">
      <w:pPr>
        <w:pStyle w:val="Heading1"/>
        <w:spacing w:before="0" w:after="0" w:line="240" w:lineRule="auto"/>
        <w:jc w:val="center"/>
        <w:rPr>
          <w:rFonts w:ascii="Arial" w:hAnsi="Arial" w:cs="Arial"/>
          <w:b/>
          <w:bCs/>
          <w:color w:val="auto"/>
          <w:sz w:val="44"/>
          <w:szCs w:val="44"/>
        </w:rPr>
      </w:pPr>
      <w:r w:rsidRPr="003A36C3">
        <w:rPr>
          <w:rFonts w:ascii="Arial" w:hAnsi="Arial" w:cs="Arial"/>
          <w:b/>
          <w:bCs/>
          <w:color w:val="auto"/>
          <w:sz w:val="44"/>
          <w:szCs w:val="44"/>
        </w:rPr>
        <w:t>Infections Sexuellement Transmissibles</w:t>
      </w:r>
    </w:p>
    <w:p w14:paraId="59CCB24A" w14:textId="11214CCD" w:rsidR="003A36C3" w:rsidRPr="003A36C3" w:rsidRDefault="003A36C3" w:rsidP="003A36C3">
      <w:pPr>
        <w:pStyle w:val="Heading1"/>
        <w:spacing w:before="0" w:after="0" w:line="240" w:lineRule="auto"/>
        <w:jc w:val="center"/>
        <w:rPr>
          <w:rFonts w:ascii="Arial" w:hAnsi="Arial" w:cs="Arial"/>
          <w:b/>
          <w:bCs/>
          <w:color w:val="auto"/>
          <w:sz w:val="44"/>
          <w:szCs w:val="44"/>
        </w:rPr>
      </w:pPr>
      <w:r w:rsidRPr="003A36C3">
        <w:rPr>
          <w:rFonts w:ascii="Arial" w:hAnsi="Arial" w:cs="Arial"/>
          <w:b/>
          <w:bCs/>
          <w:color w:val="auto"/>
        </w:rPr>
        <w:t>Aperçu des ressources</w:t>
      </w:r>
    </w:p>
    <w:p w14:paraId="1CE0B001" w14:textId="458C1775" w:rsidR="003A36C3" w:rsidRPr="003A36C3" w:rsidRDefault="003A36C3" w:rsidP="003A36C3">
      <w:pPr>
        <w:spacing w:after="0" w:line="240" w:lineRule="auto"/>
        <w:rPr>
          <w:rFonts w:cs="Arial"/>
        </w:rPr>
      </w:pPr>
      <w:r w:rsidRPr="003A36C3">
        <w:rPr>
          <w:rFonts w:cs="Arial"/>
          <w:b/>
          <w:bCs/>
          <w:noProof/>
          <w:sz w:val="40"/>
          <w:szCs w:val="40"/>
          <w:lang w:eastAsia="fr-FR"/>
        </w:rPr>
        <w:drawing>
          <wp:anchor distT="0" distB="0" distL="114300" distR="114300" simplePos="0" relativeHeight="251660288" behindDoc="0" locked="0" layoutInCell="1" allowOverlap="1" wp14:anchorId="1D35581F" wp14:editId="5B0DA46C">
            <wp:simplePos x="0" y="0"/>
            <wp:positionH relativeFrom="margin">
              <wp:posOffset>5667029</wp:posOffset>
            </wp:positionH>
            <wp:positionV relativeFrom="paragraph">
              <wp:posOffset>135461</wp:posOffset>
            </wp:positionV>
            <wp:extent cx="772160" cy="692785"/>
            <wp:effectExtent l="0" t="0" r="8890" b="0"/>
            <wp:wrapNone/>
            <wp:docPr id="52" name="Imag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CD826" w14:textId="37E4E419" w:rsidR="003A36C3" w:rsidRPr="003A36C3" w:rsidRDefault="003A36C3" w:rsidP="003A36C3">
      <w:pPr>
        <w:spacing w:after="0" w:line="240" w:lineRule="auto"/>
        <w:rPr>
          <w:rFonts w:cs="Arial"/>
        </w:rPr>
      </w:pPr>
      <w:r w:rsidRPr="003A36C3">
        <w:rPr>
          <w:rFonts w:cs="Arial"/>
          <w:noProof/>
          <w:lang w:eastAsia="fr-FR"/>
        </w:rPr>
        <mc:AlternateContent>
          <mc:Choice Requires="wps">
            <w:drawing>
              <wp:anchor distT="0" distB="0" distL="114300" distR="114300" simplePos="0" relativeHeight="251659264" behindDoc="1" locked="0" layoutInCell="1" allowOverlap="1" wp14:anchorId="014E1B90" wp14:editId="2C841045">
                <wp:simplePos x="0" y="0"/>
                <wp:positionH relativeFrom="margin">
                  <wp:align>center</wp:align>
                </wp:positionH>
                <wp:positionV relativeFrom="paragraph">
                  <wp:posOffset>101600</wp:posOffset>
                </wp:positionV>
                <wp:extent cx="7035800" cy="8582660"/>
                <wp:effectExtent l="19050" t="19050" r="12700" b="2794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58266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46424" id="Rectangle 2" o:spid="_x0000_s1026" alt="&quot;&quot;" style="position:absolute;margin-left:0;margin-top:8pt;width:554pt;height:675.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" filled="f" strokecolor="#1f396c" strokeweight="2.25pt">
                <v:path arrowok="t"/>
                <w10:wrap anchorx="margin"/>
              </v:rect>
            </w:pict>
          </mc:Fallback>
        </mc:AlternateContent>
      </w:r>
    </w:p>
    <w:p w14:paraId="378D1614" w14:textId="77777777" w:rsidR="003A36C3" w:rsidRPr="003A36C3" w:rsidRDefault="003A36C3" w:rsidP="003A36C3">
      <w:pPr>
        <w:spacing w:after="0" w:line="240" w:lineRule="auto"/>
        <w:rPr>
          <w:rFonts w:cs="Arial"/>
        </w:rPr>
      </w:pPr>
      <w:r w:rsidRPr="003A36C3">
        <w:rPr>
          <w:rFonts w:eastAsia="Times New Roman" w:cs="Arial"/>
          <w:szCs w:val="24"/>
          <w:lang w:eastAsia="fr-FR"/>
        </w:rPr>
        <w:t xml:space="preserve">Cette leçon est destinée à enseigner aux élèves comment des gestes simples peuvent limiter la transmission des microbes et des infections sexuellement transmissibles (I.S.T.). Ils apprendront avec quelle facilité des microbes potentiellement pathogènes peuvent être transmis par l’activité sexuelle, sans que personne ne s'en rende compte. </w:t>
      </w:r>
    </w:p>
    <w:p w14:paraId="3A94C2E0" w14:textId="77777777" w:rsidR="003A36C3" w:rsidRPr="003A36C3" w:rsidRDefault="003A36C3" w:rsidP="003A36C3">
      <w:pPr>
        <w:pStyle w:val="Heading2"/>
        <w:spacing w:before="0" w:after="0" w:line="240" w:lineRule="auto"/>
        <w:rPr>
          <w:rFonts w:ascii="Arial" w:hAnsi="Arial" w:cs="Arial"/>
          <w:b/>
          <w:bCs/>
          <w:color w:val="auto"/>
        </w:rPr>
      </w:pPr>
      <w:bookmarkStart w:id="0" w:name="_Hlk200616275"/>
      <w:r w:rsidRPr="003A36C3">
        <w:rPr>
          <w:rFonts w:ascii="Arial" w:hAnsi="Arial" w:cs="Arial"/>
          <w:b/>
          <w:bCs/>
          <w:color w:val="auto"/>
        </w:rPr>
        <w:t>Age : 13-19 ans</w:t>
      </w:r>
    </w:p>
    <w:p w14:paraId="7804DB65" w14:textId="77777777" w:rsidR="003A36C3" w:rsidRPr="003A36C3" w:rsidRDefault="003A36C3" w:rsidP="003A36C3">
      <w:pPr>
        <w:spacing w:after="0" w:line="240" w:lineRule="auto"/>
        <w:rPr>
          <w:rFonts w:cs="Arial"/>
        </w:rPr>
      </w:pPr>
    </w:p>
    <w:p w14:paraId="6D61B197"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Sciences de la vie et de la Terre :</w:t>
      </w:r>
    </w:p>
    <w:p w14:paraId="57E6F074"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 xml:space="preserve">Le corps humain et la santé : </w:t>
      </w:r>
    </w:p>
    <w:p w14:paraId="51A3830F"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Relier le monde microbien hébergé par notre organisme et son fonctionnement ;</w:t>
      </w:r>
    </w:p>
    <w:p w14:paraId="08E7A607"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-Ubiquité, diversité et évolution du monde bactérien (dont la résistance aux antibiotiques).</w:t>
      </w:r>
    </w:p>
    <w:p w14:paraId="39D90A46"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-Expliquer les réactions qui permettent à l’organisme de se préserver des micro-organismes pathogènes</w:t>
      </w:r>
    </w:p>
    <w:p w14:paraId="566BEDF4"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-Relier ses connaissances aux politiques de prévention et de lutte contre la contamination ou l’infection.</w:t>
      </w:r>
    </w:p>
    <w:p w14:paraId="05949145"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-Mesures d’hygiène, vaccination, actions des antiseptiques et des antibiotiques</w:t>
      </w:r>
    </w:p>
    <w:p w14:paraId="2F95BF90"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Expliquer sur quoi reposent les comportements responsables dans le domaine de la sexualité.</w:t>
      </w:r>
    </w:p>
    <w:p w14:paraId="1EE2B355" w14:textId="77777777" w:rsidR="003A36C3" w:rsidRPr="003A36C3" w:rsidRDefault="003A36C3" w:rsidP="003A36C3">
      <w:pPr>
        <w:spacing w:after="0" w:line="240" w:lineRule="auto"/>
        <w:ind w:left="360"/>
        <w:rPr>
          <w:rFonts w:eastAsia="Times New Roman" w:cs="Arial"/>
          <w:szCs w:val="24"/>
          <w:lang w:eastAsia="fr-FR"/>
        </w:rPr>
      </w:pPr>
    </w:p>
    <w:bookmarkEnd w:id="0"/>
    <w:p w14:paraId="7A068A4F" w14:textId="77777777" w:rsidR="003A36C3" w:rsidRPr="003A36C3" w:rsidRDefault="003A36C3" w:rsidP="003A36C3">
      <w:pPr>
        <w:pStyle w:val="Heading2"/>
        <w:spacing w:before="0" w:after="0" w:line="240" w:lineRule="auto"/>
        <w:rPr>
          <w:rFonts w:ascii="Arial" w:hAnsi="Arial" w:cs="Arial"/>
          <w:b/>
          <w:bCs/>
          <w:color w:val="auto"/>
        </w:rPr>
      </w:pPr>
      <w:r w:rsidRPr="003A36C3">
        <w:rPr>
          <w:rFonts w:ascii="Arial" w:hAnsi="Arial" w:cs="Arial"/>
          <w:b/>
          <w:bCs/>
          <w:color w:val="auto"/>
        </w:rPr>
        <w:t>Objectifs d’apprentissage</w:t>
      </w:r>
    </w:p>
    <w:p w14:paraId="67F4EF02" w14:textId="77777777" w:rsidR="003A36C3" w:rsidRPr="003A36C3" w:rsidRDefault="003A36C3" w:rsidP="003A36C3">
      <w:pPr>
        <w:spacing w:after="0" w:line="240" w:lineRule="auto"/>
        <w:rPr>
          <w:rFonts w:cs="Arial"/>
          <w:szCs w:val="24"/>
        </w:rPr>
      </w:pPr>
      <w:r w:rsidRPr="003A36C3">
        <w:rPr>
          <w:rFonts w:cs="Arial"/>
          <w:szCs w:val="24"/>
        </w:rPr>
        <w:t xml:space="preserve">Tous les élèves seront capables </w:t>
      </w:r>
      <w:proofErr w:type="gramStart"/>
      <w:r w:rsidRPr="003A36C3">
        <w:rPr>
          <w:rFonts w:cs="Arial"/>
          <w:szCs w:val="24"/>
        </w:rPr>
        <w:t>de:</w:t>
      </w:r>
      <w:proofErr w:type="gramEnd"/>
    </w:p>
    <w:p w14:paraId="3A8218BD" w14:textId="77777777" w:rsidR="003A36C3" w:rsidRPr="003A36C3" w:rsidRDefault="003A36C3" w:rsidP="003A36C3">
      <w:pPr>
        <w:numPr>
          <w:ilvl w:val="0"/>
          <w:numId w:val="1"/>
        </w:numPr>
        <w:spacing w:after="0" w:line="240" w:lineRule="auto"/>
        <w:rPr>
          <w:rFonts w:cs="Arial"/>
          <w:szCs w:val="24"/>
        </w:rPr>
      </w:pPr>
      <w:proofErr w:type="gramStart"/>
      <w:r w:rsidRPr="003A36C3">
        <w:rPr>
          <w:rFonts w:cs="Arial"/>
          <w:szCs w:val="24"/>
        </w:rPr>
        <w:t>savoir</w:t>
      </w:r>
      <w:proofErr w:type="gramEnd"/>
      <w:r w:rsidRPr="003A36C3">
        <w:rPr>
          <w:rFonts w:cs="Arial"/>
          <w:szCs w:val="24"/>
        </w:rPr>
        <w:t xml:space="preserve"> que les infections peuvent être transmises au cours de l’activité sexuelle ;</w:t>
      </w:r>
    </w:p>
    <w:p w14:paraId="2BFBCB8D" w14:textId="77777777" w:rsidR="003A36C3" w:rsidRDefault="003A36C3" w:rsidP="003A36C3">
      <w:pPr>
        <w:numPr>
          <w:ilvl w:val="0"/>
          <w:numId w:val="1"/>
        </w:numPr>
        <w:spacing w:after="0" w:line="240" w:lineRule="auto"/>
        <w:rPr>
          <w:rFonts w:cs="Arial"/>
          <w:szCs w:val="24"/>
        </w:rPr>
      </w:pPr>
      <w:proofErr w:type="gramStart"/>
      <w:r w:rsidRPr="003A36C3">
        <w:rPr>
          <w:rFonts w:cs="Arial"/>
          <w:szCs w:val="24"/>
        </w:rPr>
        <w:t>savoir</w:t>
      </w:r>
      <w:proofErr w:type="gramEnd"/>
      <w:r w:rsidRPr="003A36C3">
        <w:rPr>
          <w:rFonts w:cs="Arial"/>
          <w:szCs w:val="24"/>
        </w:rPr>
        <w:t xml:space="preserve"> comment se protéger contre les I.S.T.</w:t>
      </w:r>
    </w:p>
    <w:p w14:paraId="2AE1D109" w14:textId="77777777" w:rsidR="003A36C3" w:rsidRPr="003A36C3" w:rsidRDefault="003A36C3" w:rsidP="003A36C3">
      <w:pPr>
        <w:numPr>
          <w:ilvl w:val="0"/>
          <w:numId w:val="1"/>
        </w:numPr>
        <w:spacing w:after="0" w:line="240" w:lineRule="auto"/>
        <w:rPr>
          <w:rFonts w:cs="Arial"/>
          <w:szCs w:val="24"/>
        </w:rPr>
      </w:pPr>
    </w:p>
    <w:p w14:paraId="75BC9F3C" w14:textId="77777777" w:rsidR="003A36C3" w:rsidRPr="003A36C3" w:rsidRDefault="003A36C3" w:rsidP="003A36C3">
      <w:pPr>
        <w:pStyle w:val="Heading2"/>
        <w:spacing w:before="0" w:after="0" w:line="240" w:lineRule="auto"/>
        <w:rPr>
          <w:rFonts w:ascii="Arial" w:hAnsi="Arial" w:cs="Arial"/>
          <w:color w:val="auto"/>
        </w:rPr>
      </w:pPr>
      <w:r w:rsidRPr="003A36C3">
        <w:rPr>
          <w:rFonts w:ascii="Arial" w:hAnsi="Arial" w:cs="Arial"/>
          <w:b/>
          <w:bCs/>
          <w:color w:val="auto"/>
        </w:rPr>
        <w:t>Durée estimée d’enseignement</w:t>
      </w:r>
      <w:r w:rsidRPr="003A36C3">
        <w:rPr>
          <w:rFonts w:ascii="Arial" w:hAnsi="Arial" w:cs="Arial"/>
          <w:color w:val="auto"/>
        </w:rPr>
        <w:t> :</w:t>
      </w:r>
    </w:p>
    <w:p w14:paraId="6035B7C8" w14:textId="77777777" w:rsidR="003A36C3" w:rsidRDefault="003A36C3" w:rsidP="003A36C3">
      <w:pPr>
        <w:spacing w:after="0" w:line="240" w:lineRule="auto"/>
        <w:ind w:left="720" w:hanging="720"/>
        <w:contextualSpacing/>
        <w:rPr>
          <w:rFonts w:cs="Arial"/>
          <w:szCs w:val="24"/>
        </w:rPr>
      </w:pPr>
      <w:r w:rsidRPr="003A36C3">
        <w:rPr>
          <w:rFonts w:cs="Arial"/>
          <w:szCs w:val="24"/>
        </w:rPr>
        <w:t>50 minutes</w:t>
      </w:r>
    </w:p>
    <w:p w14:paraId="5AC7B677" w14:textId="77777777" w:rsidR="003A36C3" w:rsidRPr="003A36C3" w:rsidRDefault="003A36C3" w:rsidP="003A36C3">
      <w:pPr>
        <w:spacing w:after="0" w:line="240" w:lineRule="auto"/>
        <w:ind w:left="720" w:hanging="720"/>
        <w:contextualSpacing/>
        <w:rPr>
          <w:rFonts w:cs="Arial"/>
          <w:szCs w:val="24"/>
        </w:rPr>
      </w:pPr>
    </w:p>
    <w:p w14:paraId="07D85E95" w14:textId="77777777" w:rsidR="003A36C3" w:rsidRPr="003A36C3" w:rsidRDefault="003A36C3" w:rsidP="003A36C3">
      <w:pPr>
        <w:pStyle w:val="Heading2"/>
        <w:spacing w:before="0" w:after="0" w:line="240" w:lineRule="auto"/>
        <w:rPr>
          <w:rFonts w:ascii="Arial" w:hAnsi="Arial" w:cs="Arial"/>
          <w:b/>
          <w:bCs/>
          <w:color w:val="auto"/>
        </w:rPr>
      </w:pPr>
      <w:r w:rsidRPr="003A36C3">
        <w:rPr>
          <w:rFonts w:ascii="Arial" w:hAnsi="Arial" w:cs="Arial"/>
          <w:b/>
          <w:bCs/>
          <w:color w:val="auto"/>
        </w:rPr>
        <w:t>Ressource proposée</w:t>
      </w:r>
    </w:p>
    <w:p w14:paraId="12B13553"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Dans l’activité principale, les élèves réalisent une expérience de chimie pour voir combien de personnes peuvent être infectées à leur insu lors de rapports sexuels non protégés, et comment on peut empêcher cela de se produire (GE3, DTE1).</w:t>
      </w:r>
    </w:p>
    <w:p w14:paraId="335777A9" w14:textId="77777777" w:rsidR="003A36C3" w:rsidRPr="003A36C3" w:rsidRDefault="003A36C3" w:rsidP="003A36C3">
      <w:pPr>
        <w:spacing w:after="0" w:line="240" w:lineRule="auto"/>
        <w:rPr>
          <w:rFonts w:eastAsia="Times New Roman" w:cs="Arial"/>
          <w:szCs w:val="24"/>
          <w:lang w:eastAsia="fr-FR"/>
        </w:rPr>
      </w:pPr>
    </w:p>
    <w:p w14:paraId="3D966550" w14:textId="77777777" w:rsidR="003A36C3" w:rsidRPr="003A36C3" w:rsidRDefault="003A36C3" w:rsidP="003A36C3">
      <w:pPr>
        <w:spacing w:after="0" w:line="240" w:lineRule="auto"/>
        <w:rPr>
          <w:rFonts w:eastAsia="Times New Roman" w:cs="Arial"/>
          <w:szCs w:val="24"/>
          <w:lang w:eastAsia="fr-FR"/>
        </w:rPr>
      </w:pPr>
    </w:p>
    <w:p w14:paraId="4DB97C83" w14:textId="77777777" w:rsidR="003A36C3" w:rsidRPr="003A36C3" w:rsidRDefault="003A36C3" w:rsidP="003A36C3">
      <w:pPr>
        <w:spacing w:after="0" w:line="240" w:lineRule="auto"/>
        <w:rPr>
          <w:rFonts w:eastAsia="Times New Roman" w:cs="Arial"/>
          <w:szCs w:val="24"/>
          <w:lang w:eastAsia="fr-FR"/>
        </w:rPr>
      </w:pPr>
    </w:p>
    <w:p w14:paraId="5FEA8E3F" w14:textId="77777777" w:rsidR="003A36C3" w:rsidRPr="003A36C3" w:rsidRDefault="003A36C3" w:rsidP="003A36C3">
      <w:pPr>
        <w:spacing w:after="0" w:line="240" w:lineRule="auto"/>
        <w:rPr>
          <w:rFonts w:eastAsia="Times New Roman" w:cs="Arial"/>
          <w:szCs w:val="24"/>
          <w:lang w:eastAsia="fr-FR"/>
        </w:rPr>
      </w:pPr>
    </w:p>
    <w:p w14:paraId="445FECDD" w14:textId="77777777" w:rsidR="003A36C3" w:rsidRPr="003A36C3" w:rsidRDefault="003A36C3" w:rsidP="003A36C3">
      <w:pPr>
        <w:spacing w:after="0" w:line="240" w:lineRule="auto"/>
        <w:rPr>
          <w:rFonts w:eastAsia="Times New Roman" w:cs="Arial"/>
          <w:szCs w:val="24"/>
          <w:lang w:eastAsia="fr-FR"/>
        </w:rPr>
      </w:pPr>
    </w:p>
    <w:p w14:paraId="2F0EBC4B" w14:textId="77777777" w:rsidR="003A36C3" w:rsidRPr="003A36C3" w:rsidRDefault="003A36C3" w:rsidP="003A36C3">
      <w:pPr>
        <w:spacing w:after="0" w:line="240" w:lineRule="auto"/>
        <w:rPr>
          <w:rFonts w:eastAsia="Times New Roman" w:cs="Arial"/>
          <w:szCs w:val="24"/>
          <w:lang w:eastAsia="fr-FR"/>
        </w:rPr>
      </w:pPr>
    </w:p>
    <w:p w14:paraId="635A5333" w14:textId="77777777" w:rsidR="003A36C3" w:rsidRPr="003A36C3" w:rsidRDefault="003A36C3" w:rsidP="003A36C3">
      <w:pPr>
        <w:spacing w:after="0" w:line="240" w:lineRule="auto"/>
        <w:rPr>
          <w:rFonts w:eastAsia="Times New Roman" w:cs="Arial"/>
          <w:szCs w:val="24"/>
          <w:lang w:eastAsia="fr-FR"/>
        </w:rPr>
      </w:pPr>
    </w:p>
    <w:p w14:paraId="1B36B015" w14:textId="77777777" w:rsidR="003A36C3" w:rsidRPr="003A36C3" w:rsidRDefault="003A36C3" w:rsidP="003A36C3">
      <w:pPr>
        <w:spacing w:after="0" w:line="240" w:lineRule="auto"/>
        <w:rPr>
          <w:rFonts w:eastAsia="Times New Roman" w:cs="Arial"/>
          <w:szCs w:val="24"/>
          <w:lang w:eastAsia="fr-FR"/>
        </w:rPr>
      </w:pPr>
    </w:p>
    <w:p w14:paraId="1C0DE654" w14:textId="3504D155" w:rsidR="003A36C3" w:rsidRDefault="003A36C3">
      <w:pPr>
        <w:spacing w:line="278" w:lineRule="auto"/>
        <w:rPr>
          <w:rFonts w:eastAsia="Times New Roman" w:cs="Arial"/>
          <w:szCs w:val="24"/>
          <w:lang w:eastAsia="fr-FR"/>
        </w:rPr>
      </w:pPr>
      <w:r>
        <w:rPr>
          <w:rFonts w:eastAsia="Times New Roman" w:cs="Arial"/>
          <w:szCs w:val="24"/>
          <w:lang w:eastAsia="fr-FR"/>
        </w:rPr>
        <w:br w:type="page"/>
      </w:r>
    </w:p>
    <w:p w14:paraId="14DF824C" w14:textId="75E125EA" w:rsidR="003A36C3" w:rsidRPr="003A36C3" w:rsidRDefault="003A36C3" w:rsidP="003A36C3">
      <w:pPr>
        <w:spacing w:after="0" w:line="240" w:lineRule="auto"/>
        <w:rPr>
          <w:rFonts w:eastAsia="Times New Roman" w:cs="Arial"/>
          <w:szCs w:val="24"/>
          <w:lang w:eastAsia="fr-FR"/>
        </w:rPr>
      </w:pPr>
      <w:r w:rsidRPr="003A36C3">
        <w:rPr>
          <w:rFonts w:cs="Arial"/>
          <w:noProof/>
          <w:sz w:val="36"/>
          <w:szCs w:val="36"/>
          <w:lang w:eastAsia="fr-FR"/>
        </w:rPr>
        <w:lastRenderedPageBreak/>
        <w:drawing>
          <wp:anchor distT="0" distB="0" distL="114300" distR="114300" simplePos="0" relativeHeight="251662336" behindDoc="0" locked="0" layoutInCell="1" allowOverlap="1" wp14:anchorId="6171004E" wp14:editId="07FB9EF4">
            <wp:simplePos x="0" y="0"/>
            <wp:positionH relativeFrom="margin">
              <wp:posOffset>5636218</wp:posOffset>
            </wp:positionH>
            <wp:positionV relativeFrom="paragraph">
              <wp:posOffset>-68638</wp:posOffset>
            </wp:positionV>
            <wp:extent cx="772160" cy="692785"/>
            <wp:effectExtent l="0" t="0" r="889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49F00B" w14:textId="4A714141" w:rsidR="003A36C3" w:rsidRPr="003A36C3" w:rsidRDefault="003A36C3" w:rsidP="003A36C3">
      <w:pPr>
        <w:spacing w:after="0" w:line="240" w:lineRule="auto"/>
        <w:rPr>
          <w:rFonts w:eastAsia="Times New Roman" w:cs="Arial"/>
          <w:szCs w:val="24"/>
          <w:lang w:eastAsia="fr-FR"/>
        </w:rPr>
      </w:pPr>
      <w:r w:rsidRPr="003A36C3">
        <w:rPr>
          <w:rFonts w:cs="Arial"/>
          <w:noProof/>
          <w:lang w:eastAsia="fr-FR"/>
        </w:rPr>
        <mc:AlternateContent>
          <mc:Choice Requires="wps">
            <w:drawing>
              <wp:anchor distT="0" distB="0" distL="114300" distR="114300" simplePos="0" relativeHeight="251661312" behindDoc="1" locked="0" layoutInCell="1" allowOverlap="1" wp14:anchorId="09D77805" wp14:editId="2A240CCB">
                <wp:simplePos x="0" y="0"/>
                <wp:positionH relativeFrom="margin">
                  <wp:align>center</wp:align>
                </wp:positionH>
                <wp:positionV relativeFrom="paragraph">
                  <wp:posOffset>37338</wp:posOffset>
                </wp:positionV>
                <wp:extent cx="7035800" cy="8582660"/>
                <wp:effectExtent l="19050" t="19050" r="12700" b="2794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5800" cy="858266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DCB72" id="Rectangle 3" o:spid="_x0000_s1026" alt="&quot;&quot;" style="position:absolute;margin-left:0;margin-top:2.95pt;width:554pt;height:675.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" filled="f" strokecolor="#1f396c" strokeweight="2.25pt">
                <v:path arrowok="t"/>
                <w10:wrap anchorx="margin"/>
              </v:rect>
            </w:pict>
          </mc:Fallback>
        </mc:AlternateContent>
      </w:r>
    </w:p>
    <w:p w14:paraId="1B8AB36F" w14:textId="77777777" w:rsidR="003A36C3" w:rsidRPr="003A36C3" w:rsidRDefault="003A36C3" w:rsidP="003A36C3">
      <w:pPr>
        <w:pStyle w:val="Heading2"/>
        <w:spacing w:before="0" w:after="0" w:line="240" w:lineRule="auto"/>
        <w:rPr>
          <w:rFonts w:ascii="Arial" w:hAnsi="Arial" w:cs="Arial"/>
          <w:b/>
          <w:bCs/>
          <w:color w:val="auto"/>
          <w:lang w:eastAsia="fr-FR"/>
        </w:rPr>
      </w:pPr>
      <w:r w:rsidRPr="003A36C3">
        <w:rPr>
          <w:rFonts w:ascii="Arial" w:hAnsi="Arial" w:cs="Arial"/>
          <w:b/>
          <w:bCs/>
          <w:color w:val="auto"/>
          <w:lang w:eastAsia="fr-FR"/>
        </w:rPr>
        <w:t>Ressources complémentaires</w:t>
      </w:r>
    </w:p>
    <w:p w14:paraId="33127035"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szCs w:val="24"/>
          <w:lang w:eastAsia="fr-FR"/>
        </w:rPr>
        <w:t>Une bande dessinée constitue la base d’une des activités complémentaires. Dans chacune des scènes, nos deux personnages principaux, Julie et Arthur, prennent de bonnes et de mauvaises décisions. Les élèves discutent du bien-fondé de ces décisions et de leur pertinence en ce qui les concerne (GE4, DCE1 et DCE2).</w:t>
      </w:r>
    </w:p>
    <w:p w14:paraId="656774A6" w14:textId="77777777" w:rsidR="003A36C3" w:rsidRPr="003A36C3" w:rsidRDefault="003A36C3" w:rsidP="003A36C3">
      <w:pPr>
        <w:spacing w:after="0" w:line="240" w:lineRule="auto"/>
        <w:rPr>
          <w:rFonts w:eastAsia="Times New Roman" w:cs="Arial"/>
          <w:szCs w:val="24"/>
          <w:lang w:eastAsia="fr-FR"/>
        </w:rPr>
      </w:pPr>
      <w:r w:rsidRPr="003A36C3">
        <w:rPr>
          <w:rFonts w:eastAsia="Times New Roman" w:cs="Arial"/>
          <w:noProof/>
          <w:szCs w:val="24"/>
          <w:lang w:eastAsia="fr-FR"/>
        </w:rPr>
        <w:drawing>
          <wp:inline distT="0" distB="0" distL="0" distR="0" wp14:anchorId="440B8B55" wp14:editId="09ED0F94">
            <wp:extent cx="3956819" cy="5291328"/>
            <wp:effectExtent l="0" t="0" r="5715" b="5080"/>
            <wp:docPr id="1" name="Image 1" descr="capture d'écran de la bande dessinée propo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 d’écran c transmission sex DCE1.jpg"/>
                    <pic:cNvPicPr/>
                  </pic:nvPicPr>
                  <pic:blipFill>
                    <a:blip r:embed="rId6">
                      <a:extLst>
                        <a:ext uri="{28A0092B-C50C-407E-A947-70E740481C1C}">
                          <a14:useLocalDpi xmlns:a14="http://schemas.microsoft.com/office/drawing/2010/main" val="0"/>
                        </a:ext>
                      </a:extLst>
                    </a:blip>
                    <a:stretch>
                      <a:fillRect/>
                    </a:stretch>
                  </pic:blipFill>
                  <pic:spPr>
                    <a:xfrm>
                      <a:off x="0" y="0"/>
                      <a:ext cx="3966900" cy="5304809"/>
                    </a:xfrm>
                    <a:prstGeom prst="rect">
                      <a:avLst/>
                    </a:prstGeom>
                  </pic:spPr>
                </pic:pic>
              </a:graphicData>
            </a:graphic>
          </wp:inline>
        </w:drawing>
      </w:r>
    </w:p>
    <w:p w14:paraId="07DFE162" w14:textId="2774559B" w:rsidR="006D6003" w:rsidRPr="003A36C3" w:rsidRDefault="006D6003" w:rsidP="003A36C3">
      <w:pPr>
        <w:spacing w:after="0" w:line="240" w:lineRule="auto"/>
        <w:rPr>
          <w:rFonts w:cs="Arial"/>
        </w:rPr>
      </w:pPr>
    </w:p>
    <w:sectPr w:rsidR="006D6003" w:rsidRPr="003A3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7005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C3"/>
    <w:rsid w:val="003A36C3"/>
    <w:rsid w:val="0044574A"/>
    <w:rsid w:val="00564922"/>
    <w:rsid w:val="006D6003"/>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9C75"/>
  <w15:chartTrackingRefBased/>
  <w15:docId w15:val="{04B41243-7BED-4747-AE07-BAF5AFC2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C3"/>
    <w:pPr>
      <w:spacing w:line="276" w:lineRule="auto"/>
    </w:pPr>
    <w:rPr>
      <w:rFonts w:ascii="Arial" w:hAnsi="Arial"/>
      <w:kern w:val="0"/>
      <w:szCs w:val="22"/>
      <w:lang w:val="fr-FR"/>
      <w14:ligatures w14:val="none"/>
    </w:rPr>
  </w:style>
  <w:style w:type="paragraph" w:styleId="Heading1">
    <w:name w:val="heading 1"/>
    <w:basedOn w:val="Normal"/>
    <w:next w:val="Normal"/>
    <w:link w:val="Heading1Char"/>
    <w:uiPriority w:val="9"/>
    <w:qFormat/>
    <w:rsid w:val="003A3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3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3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6C3"/>
    <w:rPr>
      <w:rFonts w:eastAsiaTheme="majorEastAsia" w:cstheme="majorBidi"/>
      <w:color w:val="272727" w:themeColor="text1" w:themeTint="D8"/>
    </w:rPr>
  </w:style>
  <w:style w:type="paragraph" w:styleId="Title">
    <w:name w:val="Title"/>
    <w:basedOn w:val="Normal"/>
    <w:next w:val="Normal"/>
    <w:link w:val="TitleChar"/>
    <w:uiPriority w:val="10"/>
    <w:qFormat/>
    <w:rsid w:val="003A3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6C3"/>
    <w:pPr>
      <w:spacing w:before="160"/>
      <w:jc w:val="center"/>
    </w:pPr>
    <w:rPr>
      <w:i/>
      <w:iCs/>
      <w:color w:val="404040" w:themeColor="text1" w:themeTint="BF"/>
    </w:rPr>
  </w:style>
  <w:style w:type="character" w:customStyle="1" w:styleId="QuoteChar">
    <w:name w:val="Quote Char"/>
    <w:basedOn w:val="DefaultParagraphFont"/>
    <w:link w:val="Quote"/>
    <w:uiPriority w:val="29"/>
    <w:rsid w:val="003A36C3"/>
    <w:rPr>
      <w:i/>
      <w:iCs/>
      <w:color w:val="404040" w:themeColor="text1" w:themeTint="BF"/>
    </w:rPr>
  </w:style>
  <w:style w:type="paragraph" w:styleId="ListParagraph">
    <w:name w:val="List Paragraph"/>
    <w:basedOn w:val="Normal"/>
    <w:uiPriority w:val="34"/>
    <w:qFormat/>
    <w:rsid w:val="003A36C3"/>
    <w:pPr>
      <w:ind w:left="720"/>
      <w:contextualSpacing/>
    </w:pPr>
  </w:style>
  <w:style w:type="character" w:styleId="IntenseEmphasis">
    <w:name w:val="Intense Emphasis"/>
    <w:basedOn w:val="DefaultParagraphFont"/>
    <w:uiPriority w:val="21"/>
    <w:qFormat/>
    <w:rsid w:val="003A36C3"/>
    <w:rPr>
      <w:i/>
      <w:iCs/>
      <w:color w:val="0F4761" w:themeColor="accent1" w:themeShade="BF"/>
    </w:rPr>
  </w:style>
  <w:style w:type="paragraph" w:styleId="IntenseQuote">
    <w:name w:val="Intense Quote"/>
    <w:basedOn w:val="Normal"/>
    <w:next w:val="Normal"/>
    <w:link w:val="IntenseQuoteChar"/>
    <w:uiPriority w:val="30"/>
    <w:qFormat/>
    <w:rsid w:val="003A3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6C3"/>
    <w:rPr>
      <w:i/>
      <w:iCs/>
      <w:color w:val="0F4761" w:themeColor="accent1" w:themeShade="BF"/>
    </w:rPr>
  </w:style>
  <w:style w:type="character" w:styleId="IntenseReference">
    <w:name w:val="Intense Reference"/>
    <w:basedOn w:val="DefaultParagraphFont"/>
    <w:uiPriority w:val="32"/>
    <w:qFormat/>
    <w:rsid w:val="003A36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2025-07-16T12:14:00Z</dcterms:created>
  <dcterms:modified xsi:type="dcterms:W3CDTF">2025-07-16T12:16:00Z</dcterms:modified>
</cp:coreProperties>
</file>