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stTable3-Accent1"/>
        <w:tblW w:w="9356" w:type="dxa"/>
        <w:tblLook w:val="04A0" w:firstRow="1" w:lastRow="0" w:firstColumn="1" w:lastColumn="0" w:noHBand="0" w:noVBand="1"/>
      </w:tblPr>
      <w:tblGrid>
        <w:gridCol w:w="1271"/>
        <w:gridCol w:w="4253"/>
        <w:gridCol w:w="3832"/>
      </w:tblGrid>
      <w:tr w:rsidR="00547367" w14:paraId="057C59E0" w14:textId="77777777" w:rsidTr="005641F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271" w:type="dxa"/>
            <w:shd w:val="clear" w:color="auto" w:fill="117E62"/>
          </w:tcPr>
          <w:p w14:paraId="237BB679" w14:textId="0BC85C18" w:rsidR="00547367" w:rsidRPr="005641F5" w:rsidRDefault="00547367">
            <w:r w:rsidRPr="005641F5">
              <w:t>Time</w:t>
            </w:r>
          </w:p>
        </w:tc>
        <w:tc>
          <w:tcPr>
            <w:tcW w:w="4253" w:type="dxa"/>
            <w:shd w:val="clear" w:color="auto" w:fill="117E62"/>
          </w:tcPr>
          <w:p w14:paraId="5C13F647" w14:textId="36AB0F12" w:rsidR="00547367" w:rsidRPr="005641F5" w:rsidRDefault="00547367">
            <w:pPr>
              <w:cnfStyle w:val="100000000000" w:firstRow="1" w:lastRow="0" w:firstColumn="0" w:lastColumn="0" w:oddVBand="0" w:evenVBand="0" w:oddHBand="0" w:evenHBand="0" w:firstRowFirstColumn="0" w:firstRowLastColumn="0" w:lastRowFirstColumn="0" w:lastRowLastColumn="0"/>
            </w:pPr>
            <w:r w:rsidRPr="005641F5">
              <w:t>Audio</w:t>
            </w:r>
          </w:p>
        </w:tc>
        <w:tc>
          <w:tcPr>
            <w:tcW w:w="3832" w:type="dxa"/>
            <w:shd w:val="clear" w:color="auto" w:fill="117E62"/>
          </w:tcPr>
          <w:p w14:paraId="04DBF616" w14:textId="69D9EF42" w:rsidR="00547367" w:rsidRPr="005641F5" w:rsidRDefault="00547367">
            <w:pPr>
              <w:cnfStyle w:val="100000000000" w:firstRow="1" w:lastRow="0" w:firstColumn="0" w:lastColumn="0" w:oddVBand="0" w:evenVBand="0" w:oddHBand="0" w:evenHBand="0" w:firstRowFirstColumn="0" w:firstRowLastColumn="0" w:lastRowFirstColumn="0" w:lastRowLastColumn="0"/>
            </w:pPr>
            <w:r w:rsidRPr="005641F5">
              <w:t>Visual</w:t>
            </w:r>
          </w:p>
        </w:tc>
      </w:tr>
      <w:tr w:rsidR="00547367" w14:paraId="114F83F5" w14:textId="77777777" w:rsidTr="005641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0E909C7A" w14:textId="2A83FC83" w:rsidR="00547367" w:rsidRDefault="00547367">
            <w:r>
              <w:t>0:00-0:12</w:t>
            </w:r>
          </w:p>
        </w:tc>
        <w:tc>
          <w:tcPr>
            <w:tcW w:w="4253" w:type="dxa"/>
          </w:tcPr>
          <w:p w14:paraId="5CCFAD57" w14:textId="64C510AA" w:rsidR="00547367" w:rsidRDefault="00547367">
            <w:pPr>
              <w:cnfStyle w:val="000000100000" w:firstRow="0" w:lastRow="0" w:firstColumn="0" w:lastColumn="0" w:oddVBand="0" w:evenVBand="0" w:oddHBand="1" w:evenHBand="0" w:firstRowFirstColumn="0" w:firstRowLastColumn="0" w:lastRowFirstColumn="0" w:lastRowLastColumn="0"/>
            </w:pPr>
            <w:r>
              <w:t>We are going to explore why brushing our teeth twice a day is so important. We will do this by mixing a paste to represent plaque build-up</w:t>
            </w:r>
          </w:p>
        </w:tc>
        <w:tc>
          <w:tcPr>
            <w:tcW w:w="3832" w:type="dxa"/>
          </w:tcPr>
          <w:p w14:paraId="2639C537" w14:textId="28188AC8" w:rsidR="00547367" w:rsidRDefault="00547367">
            <w:pPr>
              <w:cnfStyle w:val="000000100000" w:firstRow="0" w:lastRow="0" w:firstColumn="0" w:lastColumn="0" w:oddVBand="0" w:evenVBand="0" w:oddHBand="1" w:evenHBand="0" w:firstRowFirstColumn="0" w:firstRowLastColumn="0" w:lastRowFirstColumn="0" w:lastRowLastColumn="0"/>
            </w:pPr>
            <w:r>
              <w:t>“Key Stage Two: Oral Hygiene – Attack the Plaque”</w:t>
            </w:r>
          </w:p>
        </w:tc>
      </w:tr>
      <w:tr w:rsidR="00547367" w14:paraId="456BB699" w14:textId="77777777" w:rsidTr="005641F5">
        <w:tc>
          <w:tcPr>
            <w:cnfStyle w:val="001000000000" w:firstRow="0" w:lastRow="0" w:firstColumn="1" w:lastColumn="0" w:oddVBand="0" w:evenVBand="0" w:oddHBand="0" w:evenHBand="0" w:firstRowFirstColumn="0" w:firstRowLastColumn="0" w:lastRowFirstColumn="0" w:lastRowLastColumn="0"/>
            <w:tcW w:w="1271" w:type="dxa"/>
          </w:tcPr>
          <w:p w14:paraId="32861197" w14:textId="60059E5A" w:rsidR="00547367" w:rsidRDefault="00547367">
            <w:r>
              <w:t>0:12-0:25</w:t>
            </w:r>
          </w:p>
        </w:tc>
        <w:tc>
          <w:tcPr>
            <w:tcW w:w="4253" w:type="dxa"/>
          </w:tcPr>
          <w:p w14:paraId="5C5DA18D" w14:textId="16D888E9" w:rsidR="00547367" w:rsidRDefault="00547367">
            <w:pPr>
              <w:cnfStyle w:val="000000000000" w:firstRow="0" w:lastRow="0" w:firstColumn="0" w:lastColumn="0" w:oddVBand="0" w:evenVBand="0" w:oddHBand="0" w:evenHBand="0" w:firstRowFirstColumn="0" w:firstRowLastColumn="0" w:lastRowFirstColumn="0" w:lastRowLastColumn="0"/>
            </w:pPr>
            <w:r>
              <w:t>The resources required are flour, water and food colouring for the paste, yoghurt pots to represent teeth, a paintbrush to apply the paste to the pots, and a toothbrush to attempt to brush the plaque away</w:t>
            </w:r>
          </w:p>
        </w:tc>
        <w:tc>
          <w:tcPr>
            <w:tcW w:w="3832" w:type="dxa"/>
          </w:tcPr>
          <w:p w14:paraId="0F0B73F2" w14:textId="1E3D51EB" w:rsidR="00547367" w:rsidRDefault="00547367">
            <w:pPr>
              <w:cnfStyle w:val="000000000000" w:firstRow="0" w:lastRow="0" w:firstColumn="0" w:lastColumn="0" w:oddVBand="0" w:evenVBand="0" w:oddHBand="0" w:evenHBand="0" w:firstRowFirstColumn="0" w:firstRowLastColumn="0" w:lastRowFirstColumn="0" w:lastRowLastColumn="0"/>
            </w:pPr>
            <w:r>
              <w:t>The ingredients for the experiment are laid out on the table: a toothpaste, two yoghurt pots, a bottle of food colouring, a bowl of flour, a bowl of water, a toothbrush, and a spoon</w:t>
            </w:r>
          </w:p>
        </w:tc>
      </w:tr>
      <w:tr w:rsidR="00547367" w14:paraId="540D7BF6" w14:textId="77777777" w:rsidTr="005641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5048E173" w14:textId="4BBD8561" w:rsidR="00547367" w:rsidRDefault="00547367">
            <w:r>
              <w:t>0:26-0:30</w:t>
            </w:r>
          </w:p>
        </w:tc>
        <w:tc>
          <w:tcPr>
            <w:tcW w:w="4253" w:type="dxa"/>
          </w:tcPr>
          <w:p w14:paraId="16FDD8C3" w14:textId="34F43FFC" w:rsidR="00547367" w:rsidRDefault="00547367">
            <w:pPr>
              <w:cnfStyle w:val="000000100000" w:firstRow="0" w:lastRow="0" w:firstColumn="0" w:lastColumn="0" w:oddVBand="0" w:evenVBand="0" w:oddHBand="1" w:evenHBand="0" w:firstRowFirstColumn="0" w:firstRowLastColumn="0" w:lastRowFirstColumn="0" w:lastRowLastColumn="0"/>
            </w:pPr>
            <w:r>
              <w:t>Please take a moment to look at the e-Bug lesson plan for information on health and safety</w:t>
            </w:r>
          </w:p>
        </w:tc>
        <w:tc>
          <w:tcPr>
            <w:tcW w:w="3832" w:type="dxa"/>
          </w:tcPr>
          <w:p w14:paraId="23717E78" w14:textId="6BD930AD" w:rsidR="00547367" w:rsidRDefault="00547367">
            <w:pPr>
              <w:cnfStyle w:val="000000100000" w:firstRow="0" w:lastRow="0" w:firstColumn="0" w:lastColumn="0" w:oddVBand="0" w:evenVBand="0" w:oddHBand="1" w:evenHBand="0" w:firstRowFirstColumn="0" w:firstRowLastColumn="0" w:lastRowFirstColumn="0" w:lastRowLastColumn="0"/>
            </w:pPr>
            <w:r>
              <w:t>“Please look at the e-Bug lesson plan for information on health and safety”</w:t>
            </w:r>
          </w:p>
        </w:tc>
      </w:tr>
      <w:tr w:rsidR="00547367" w14:paraId="66788657" w14:textId="77777777" w:rsidTr="005641F5">
        <w:tc>
          <w:tcPr>
            <w:cnfStyle w:val="001000000000" w:firstRow="0" w:lastRow="0" w:firstColumn="1" w:lastColumn="0" w:oddVBand="0" w:evenVBand="0" w:oddHBand="0" w:evenHBand="0" w:firstRowFirstColumn="0" w:firstRowLastColumn="0" w:lastRowFirstColumn="0" w:lastRowLastColumn="0"/>
            <w:tcW w:w="1271" w:type="dxa"/>
          </w:tcPr>
          <w:p w14:paraId="24597951" w14:textId="13199970" w:rsidR="00547367" w:rsidRDefault="00547367">
            <w:r>
              <w:t>0:31-</w:t>
            </w:r>
            <w:r w:rsidR="000A637D">
              <w:t>0:40</w:t>
            </w:r>
          </w:p>
        </w:tc>
        <w:tc>
          <w:tcPr>
            <w:tcW w:w="4253" w:type="dxa"/>
          </w:tcPr>
          <w:p w14:paraId="178FCFF3" w14:textId="194770F4" w:rsidR="00547367" w:rsidRDefault="00547367">
            <w:pPr>
              <w:cnfStyle w:val="000000000000" w:firstRow="0" w:lastRow="0" w:firstColumn="0" w:lastColumn="0" w:oddVBand="0" w:evenVBand="0" w:oddHBand="0" w:evenHBand="0" w:firstRowFirstColumn="0" w:firstRowLastColumn="0" w:lastRowFirstColumn="0" w:lastRowLastColumn="0"/>
            </w:pPr>
            <w:r>
              <w:t>For this experiment, mix two tablespoons of water, two tablespoons of flour, and three drops of food colouring together to form a paste</w:t>
            </w:r>
          </w:p>
        </w:tc>
        <w:tc>
          <w:tcPr>
            <w:tcW w:w="3832" w:type="dxa"/>
          </w:tcPr>
          <w:p w14:paraId="0329679C" w14:textId="2596D9B4" w:rsidR="00547367" w:rsidRDefault="000A637D">
            <w:pPr>
              <w:cnfStyle w:val="000000000000" w:firstRow="0" w:lastRow="0" w:firstColumn="0" w:lastColumn="0" w:oddVBand="0" w:evenVBand="0" w:oddHBand="0" w:evenHBand="0" w:firstRowFirstColumn="0" w:firstRowLastColumn="0" w:lastRowFirstColumn="0" w:lastRowLastColumn="0"/>
            </w:pPr>
            <w:r>
              <w:t>The appropriate measurements of flour, water and food colouring are mixed together in a bowl with a spoon, forming a yellow paste</w:t>
            </w:r>
          </w:p>
        </w:tc>
      </w:tr>
      <w:tr w:rsidR="00547367" w14:paraId="065E2695" w14:textId="77777777" w:rsidTr="005641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38C69A10" w14:textId="05020061" w:rsidR="00547367" w:rsidRDefault="000A637D">
            <w:r>
              <w:t>0:40-0:45</w:t>
            </w:r>
          </w:p>
        </w:tc>
        <w:tc>
          <w:tcPr>
            <w:tcW w:w="4253" w:type="dxa"/>
          </w:tcPr>
          <w:p w14:paraId="36113C38" w14:textId="286D2E6D" w:rsidR="00547367" w:rsidRDefault="000A637D">
            <w:pPr>
              <w:cnfStyle w:val="000000100000" w:firstRow="0" w:lastRow="0" w:firstColumn="0" w:lastColumn="0" w:oddVBand="0" w:evenVBand="0" w:oddHBand="1" w:evenHBand="0" w:firstRowFirstColumn="0" w:firstRowLastColumn="0" w:lastRowFirstColumn="0" w:lastRowLastColumn="0"/>
            </w:pPr>
            <w:r>
              <w:t xml:space="preserve">Paint the paste onto the teeth. The paste can take around 4 hours to dry. </w:t>
            </w:r>
          </w:p>
        </w:tc>
        <w:tc>
          <w:tcPr>
            <w:tcW w:w="3832" w:type="dxa"/>
          </w:tcPr>
          <w:p w14:paraId="4E3FF31B" w14:textId="6D98D6A6" w:rsidR="00547367" w:rsidRDefault="000A637D">
            <w:pPr>
              <w:cnfStyle w:val="000000100000" w:firstRow="0" w:lastRow="0" w:firstColumn="0" w:lastColumn="0" w:oddVBand="0" w:evenVBand="0" w:oddHBand="1" w:evenHBand="0" w:firstRowFirstColumn="0" w:firstRowLastColumn="0" w:lastRowFirstColumn="0" w:lastRowLastColumn="0"/>
            </w:pPr>
            <w:r>
              <w:t>The yellow paste is spread onto the yoghurt pot using the spoon</w:t>
            </w:r>
          </w:p>
        </w:tc>
      </w:tr>
      <w:tr w:rsidR="00547367" w14:paraId="16096756" w14:textId="77777777" w:rsidTr="005641F5">
        <w:tc>
          <w:tcPr>
            <w:cnfStyle w:val="001000000000" w:firstRow="0" w:lastRow="0" w:firstColumn="1" w:lastColumn="0" w:oddVBand="0" w:evenVBand="0" w:oddHBand="0" w:evenHBand="0" w:firstRowFirstColumn="0" w:firstRowLastColumn="0" w:lastRowFirstColumn="0" w:lastRowLastColumn="0"/>
            <w:tcW w:w="1271" w:type="dxa"/>
          </w:tcPr>
          <w:p w14:paraId="64FAD873" w14:textId="634800C5" w:rsidR="00547367" w:rsidRDefault="000A637D">
            <w:r>
              <w:t>0:46-1:10</w:t>
            </w:r>
          </w:p>
        </w:tc>
        <w:tc>
          <w:tcPr>
            <w:tcW w:w="4253" w:type="dxa"/>
          </w:tcPr>
          <w:p w14:paraId="064EA812" w14:textId="0F3B0509" w:rsidR="00547367" w:rsidRDefault="000A637D">
            <w:pPr>
              <w:cnfStyle w:val="000000000000" w:firstRow="0" w:lastRow="0" w:firstColumn="0" w:lastColumn="0" w:oddVBand="0" w:evenVBand="0" w:oddHBand="0" w:evenHBand="0" w:firstRowFirstColumn="0" w:firstRowLastColumn="0" w:lastRowFirstColumn="0" w:lastRowLastColumn="0"/>
            </w:pPr>
            <w:r>
              <w:t>You may want to make some yoghurt pots in advance so they are already dry before the lesson. The first yoghurt pot has no paste on it and represents clean teeth. The second yoghurt pot has wet paste on it, representing teeth with some build up of bacteria that, when hardens, forms plaque. The third yoghurt pot has dry paste on it, representing teeth with hardened plaque formed</w:t>
            </w:r>
          </w:p>
        </w:tc>
        <w:tc>
          <w:tcPr>
            <w:tcW w:w="3832" w:type="dxa"/>
          </w:tcPr>
          <w:p w14:paraId="12926A6C" w14:textId="157B51BC" w:rsidR="00547367" w:rsidRDefault="000A637D">
            <w:pPr>
              <w:cnfStyle w:val="000000000000" w:firstRow="0" w:lastRow="0" w:firstColumn="0" w:lastColumn="0" w:oddVBand="0" w:evenVBand="0" w:oddHBand="0" w:evenHBand="0" w:firstRowFirstColumn="0" w:firstRowLastColumn="0" w:lastRowFirstColumn="0" w:lastRowLastColumn="0"/>
            </w:pPr>
            <w:r>
              <w:t>Three yoghurt pots are placed next to each other: one clean, one painted with dry yellow paste, and one painted with wet yellow paste</w:t>
            </w:r>
          </w:p>
        </w:tc>
      </w:tr>
      <w:tr w:rsidR="00547367" w14:paraId="4F424A33" w14:textId="77777777" w:rsidTr="005641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01CE0744" w14:textId="233A05E4" w:rsidR="00547367" w:rsidRDefault="002E1BB6">
            <w:r>
              <w:t>1:10-1:17</w:t>
            </w:r>
          </w:p>
        </w:tc>
        <w:tc>
          <w:tcPr>
            <w:tcW w:w="4253" w:type="dxa"/>
          </w:tcPr>
          <w:p w14:paraId="57F977F2" w14:textId="417C908E" w:rsidR="00547367" w:rsidRDefault="002E1BB6">
            <w:pPr>
              <w:cnfStyle w:val="000000100000" w:firstRow="0" w:lastRow="0" w:firstColumn="0" w:lastColumn="0" w:oddVBand="0" w:evenVBand="0" w:oddHBand="1" w:evenHBand="0" w:firstRowFirstColumn="0" w:firstRowLastColumn="0" w:lastRowFirstColumn="0" w:lastRowLastColumn="0"/>
            </w:pPr>
            <w:r>
              <w:t>In groups students can have a go at using a toothbrush to remove the paste from the different yoghurt pots</w:t>
            </w:r>
          </w:p>
        </w:tc>
        <w:tc>
          <w:tcPr>
            <w:tcW w:w="3832" w:type="dxa"/>
          </w:tcPr>
          <w:p w14:paraId="187B5A42" w14:textId="109893AF" w:rsidR="00547367" w:rsidRDefault="002E1BB6">
            <w:pPr>
              <w:cnfStyle w:val="000000100000" w:firstRow="0" w:lastRow="0" w:firstColumn="0" w:lastColumn="0" w:oddVBand="0" w:evenVBand="0" w:oddHBand="1" w:evenHBand="0" w:firstRowFirstColumn="0" w:firstRowLastColumn="0" w:lastRowFirstColumn="0" w:lastRowLastColumn="0"/>
            </w:pPr>
            <w:r>
              <w:t>A yoghurt pot with paste on is scrubbed with the toothbrush and some toothpaste</w:t>
            </w:r>
          </w:p>
        </w:tc>
      </w:tr>
      <w:tr w:rsidR="002E1BB6" w14:paraId="64DEB2BA" w14:textId="77777777" w:rsidTr="005641F5">
        <w:tc>
          <w:tcPr>
            <w:cnfStyle w:val="001000000000" w:firstRow="0" w:lastRow="0" w:firstColumn="1" w:lastColumn="0" w:oddVBand="0" w:evenVBand="0" w:oddHBand="0" w:evenHBand="0" w:firstRowFirstColumn="0" w:firstRowLastColumn="0" w:lastRowFirstColumn="0" w:lastRowLastColumn="0"/>
            <w:tcW w:w="1271" w:type="dxa"/>
          </w:tcPr>
          <w:p w14:paraId="411891B6" w14:textId="6A574319" w:rsidR="002E1BB6" w:rsidRDefault="002E1BB6">
            <w:r>
              <w:t>1:17-1:39</w:t>
            </w:r>
          </w:p>
        </w:tc>
        <w:tc>
          <w:tcPr>
            <w:tcW w:w="4253" w:type="dxa"/>
          </w:tcPr>
          <w:p w14:paraId="669ABC2C" w14:textId="792D9DBD" w:rsidR="002E1BB6" w:rsidRDefault="002E1BB6">
            <w:pPr>
              <w:cnfStyle w:val="000000000000" w:firstRow="0" w:lastRow="0" w:firstColumn="0" w:lastColumn="0" w:oddVBand="0" w:evenVBand="0" w:oddHBand="0" w:evenHBand="0" w:firstRowFirstColumn="0" w:firstRowLastColumn="0" w:lastRowFirstColumn="0" w:lastRowLastColumn="0"/>
            </w:pPr>
            <w:r>
              <w:t>Discuss with your class. Which teeth are left clean? How difficult was it to brush hardened plaque off the teeth? This experiment shows why it is important to brush teeth twice a day to ensure that bacteria does not build up and harden. When bacteria does harden to create plaque and is not brushed away, there is a risk of tooth decay</w:t>
            </w:r>
          </w:p>
        </w:tc>
        <w:tc>
          <w:tcPr>
            <w:tcW w:w="3832" w:type="dxa"/>
          </w:tcPr>
          <w:p w14:paraId="5931C1A5" w14:textId="7A6354F3" w:rsidR="002E1BB6" w:rsidRDefault="002E1BB6">
            <w:pPr>
              <w:cnfStyle w:val="000000000000" w:firstRow="0" w:lastRow="0" w:firstColumn="0" w:lastColumn="0" w:oddVBand="0" w:evenVBand="0" w:oddHBand="0" w:evenHBand="0" w:firstRowFirstColumn="0" w:firstRowLastColumn="0" w:lastRowFirstColumn="0" w:lastRowLastColumn="0"/>
            </w:pPr>
            <w:r>
              <w:t>The three yoghurt pots are laid out next to each other on a sheet of paper after having been brushed with the toothbrush</w:t>
            </w:r>
          </w:p>
        </w:tc>
      </w:tr>
      <w:tr w:rsidR="002E1BB6" w14:paraId="72B92EAB" w14:textId="77777777" w:rsidTr="005641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707DA537" w14:textId="5257821A" w:rsidR="002E1BB6" w:rsidRDefault="002E1BB6">
            <w:r>
              <w:t>1:40-</w:t>
            </w:r>
            <w:r w:rsidR="005641F5">
              <w:t>1:46</w:t>
            </w:r>
          </w:p>
        </w:tc>
        <w:tc>
          <w:tcPr>
            <w:tcW w:w="4253" w:type="dxa"/>
          </w:tcPr>
          <w:p w14:paraId="1F38340E" w14:textId="2EDD2203" w:rsidR="002E1BB6" w:rsidRDefault="002E1BB6">
            <w:pPr>
              <w:cnfStyle w:val="000000100000" w:firstRow="0" w:lastRow="0" w:firstColumn="0" w:lastColumn="0" w:oddVBand="0" w:evenVBand="0" w:oddHBand="1" w:evenHBand="0" w:firstRowFirstColumn="0" w:firstRowLastColumn="0" w:lastRowFirstColumn="0" w:lastRowLastColumn="0"/>
            </w:pPr>
            <w:r>
              <w:t xml:space="preserve">Go to </w:t>
            </w:r>
            <w:hyperlink r:id="rId4" w:history="1">
              <w:r w:rsidRPr="001F5843">
                <w:rPr>
                  <w:rStyle w:val="Hyperlink"/>
                </w:rPr>
                <w:t>www.e-Bug.eu</w:t>
              </w:r>
            </w:hyperlink>
            <w:r>
              <w:t xml:space="preserve"> for more ideas on how to teach about oral hygiene</w:t>
            </w:r>
          </w:p>
        </w:tc>
        <w:tc>
          <w:tcPr>
            <w:tcW w:w="3832" w:type="dxa"/>
          </w:tcPr>
          <w:p w14:paraId="4A31C757" w14:textId="17A61943" w:rsidR="002E1BB6" w:rsidRDefault="002E1BB6">
            <w:pPr>
              <w:cnfStyle w:val="000000100000" w:firstRow="0" w:lastRow="0" w:firstColumn="0" w:lastColumn="0" w:oddVBand="0" w:evenVBand="0" w:oddHBand="1" w:evenHBand="0" w:firstRowFirstColumn="0" w:firstRowLastColumn="0" w:lastRowFirstColumn="0" w:lastRowLastColumn="0"/>
            </w:pPr>
            <w:r>
              <w:t>“For the full le</w:t>
            </w:r>
            <w:r w:rsidR="005641F5">
              <w:t>s</w:t>
            </w:r>
            <w:r>
              <w:t>son plan, extension activities, work sheets</w:t>
            </w:r>
            <w:r w:rsidR="005641F5">
              <w:t xml:space="preserve">, answers, and much more visit the e-Bug website: </w:t>
            </w:r>
            <w:hyperlink r:id="rId5" w:history="1">
              <w:r w:rsidR="005641F5" w:rsidRPr="001F5843">
                <w:rPr>
                  <w:rStyle w:val="Hyperlink"/>
                </w:rPr>
                <w:t>www.e-Bug.eu</w:t>
              </w:r>
            </w:hyperlink>
            <w:r w:rsidR="005641F5">
              <w:t>”</w:t>
            </w:r>
          </w:p>
        </w:tc>
      </w:tr>
    </w:tbl>
    <w:p w14:paraId="153D6AD8" w14:textId="77777777" w:rsidR="00672E65" w:rsidRDefault="00672E65" w:rsidP="00976A36"/>
    <w:sectPr w:rsidR="00672E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367"/>
    <w:rsid w:val="000A637D"/>
    <w:rsid w:val="00214909"/>
    <w:rsid w:val="00280A67"/>
    <w:rsid w:val="002E1BB6"/>
    <w:rsid w:val="00547367"/>
    <w:rsid w:val="005641F5"/>
    <w:rsid w:val="00672E65"/>
    <w:rsid w:val="00976A36"/>
    <w:rsid w:val="00AF71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78C1B"/>
  <w15:chartTrackingRefBased/>
  <w15:docId w15:val="{2CD2510E-6E2D-44FB-A8E5-A3D9182A6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71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473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E1BB6"/>
    <w:rPr>
      <w:color w:val="302564" w:themeColor="hyperlink"/>
      <w:u w:val="single"/>
    </w:rPr>
  </w:style>
  <w:style w:type="character" w:styleId="UnresolvedMention">
    <w:name w:val="Unresolved Mention"/>
    <w:basedOn w:val="DefaultParagraphFont"/>
    <w:uiPriority w:val="99"/>
    <w:semiHidden/>
    <w:unhideWhenUsed/>
    <w:rsid w:val="002E1BB6"/>
    <w:rPr>
      <w:color w:val="605E5C"/>
      <w:shd w:val="clear" w:color="auto" w:fill="E1DFDD"/>
    </w:rPr>
  </w:style>
  <w:style w:type="table" w:styleId="PlainTable2">
    <w:name w:val="Plain Table 2"/>
    <w:basedOn w:val="TableNormal"/>
    <w:uiPriority w:val="42"/>
    <w:rsid w:val="005641F5"/>
    <w:pPr>
      <w:spacing w:after="0" w:line="240" w:lineRule="auto"/>
    </w:pPr>
    <w:tblPr>
      <w:tblStyleRowBandSize w:val="1"/>
      <w:tblStyleColBandSize w:val="1"/>
      <w:tblBorders>
        <w:top w:val="single" w:sz="4" w:space="0" w:color="8576CC" w:themeColor="text1" w:themeTint="80"/>
        <w:bottom w:val="single" w:sz="4" w:space="0" w:color="8576CC" w:themeColor="text1" w:themeTint="80"/>
      </w:tblBorders>
    </w:tblPr>
    <w:tblStylePr w:type="firstRow">
      <w:rPr>
        <w:b/>
        <w:bCs/>
      </w:rPr>
      <w:tblPr/>
      <w:tcPr>
        <w:tcBorders>
          <w:bottom w:val="single" w:sz="4" w:space="0" w:color="8576CC" w:themeColor="text1" w:themeTint="80"/>
        </w:tcBorders>
      </w:tcPr>
    </w:tblStylePr>
    <w:tblStylePr w:type="lastRow">
      <w:rPr>
        <w:b/>
        <w:bCs/>
      </w:rPr>
      <w:tblPr/>
      <w:tcPr>
        <w:tcBorders>
          <w:top w:val="single" w:sz="4" w:space="0" w:color="8576CC" w:themeColor="text1" w:themeTint="80"/>
        </w:tcBorders>
      </w:tcPr>
    </w:tblStylePr>
    <w:tblStylePr w:type="firstCol">
      <w:rPr>
        <w:b/>
        <w:bCs/>
      </w:rPr>
    </w:tblStylePr>
    <w:tblStylePr w:type="lastCol">
      <w:rPr>
        <w:b/>
        <w:bCs/>
      </w:rPr>
    </w:tblStylePr>
    <w:tblStylePr w:type="band1Vert">
      <w:tblPr/>
      <w:tcPr>
        <w:tcBorders>
          <w:left w:val="single" w:sz="4" w:space="0" w:color="8576CC" w:themeColor="text1" w:themeTint="80"/>
          <w:right w:val="single" w:sz="4" w:space="0" w:color="8576CC" w:themeColor="text1" w:themeTint="80"/>
        </w:tcBorders>
      </w:tcPr>
    </w:tblStylePr>
    <w:tblStylePr w:type="band2Vert">
      <w:tblPr/>
      <w:tcPr>
        <w:tcBorders>
          <w:left w:val="single" w:sz="4" w:space="0" w:color="8576CC" w:themeColor="text1" w:themeTint="80"/>
          <w:right w:val="single" w:sz="4" w:space="0" w:color="8576CC" w:themeColor="text1" w:themeTint="80"/>
        </w:tcBorders>
      </w:tcPr>
    </w:tblStylePr>
    <w:tblStylePr w:type="band1Horz">
      <w:tblPr/>
      <w:tcPr>
        <w:tcBorders>
          <w:top w:val="single" w:sz="4" w:space="0" w:color="8576CC" w:themeColor="text1" w:themeTint="80"/>
          <w:bottom w:val="single" w:sz="4" w:space="0" w:color="8576CC" w:themeColor="text1" w:themeTint="80"/>
        </w:tcBorders>
      </w:tcPr>
    </w:tblStylePr>
  </w:style>
  <w:style w:type="table" w:styleId="GridTable2-Accent1">
    <w:name w:val="Grid Table 2 Accent 1"/>
    <w:basedOn w:val="TableNormal"/>
    <w:uiPriority w:val="47"/>
    <w:rsid w:val="005641F5"/>
    <w:pPr>
      <w:spacing w:after="0" w:line="240" w:lineRule="auto"/>
    </w:pPr>
    <w:tblPr>
      <w:tblStyleRowBandSize w:val="1"/>
      <w:tblStyleColBandSize w:val="1"/>
      <w:tblBorders>
        <w:top w:val="single" w:sz="2" w:space="0" w:color="F6A186" w:themeColor="accent1" w:themeTint="99"/>
        <w:bottom w:val="single" w:sz="2" w:space="0" w:color="F6A186" w:themeColor="accent1" w:themeTint="99"/>
        <w:insideH w:val="single" w:sz="2" w:space="0" w:color="F6A186" w:themeColor="accent1" w:themeTint="99"/>
        <w:insideV w:val="single" w:sz="2" w:space="0" w:color="F6A186" w:themeColor="accent1" w:themeTint="99"/>
      </w:tblBorders>
    </w:tblPr>
    <w:tblStylePr w:type="firstRow">
      <w:rPr>
        <w:b/>
        <w:bCs/>
      </w:rPr>
      <w:tblPr/>
      <w:tcPr>
        <w:tcBorders>
          <w:top w:val="nil"/>
          <w:bottom w:val="single" w:sz="12" w:space="0" w:color="F6A186" w:themeColor="accent1" w:themeTint="99"/>
          <w:insideH w:val="nil"/>
          <w:insideV w:val="nil"/>
        </w:tcBorders>
        <w:shd w:val="clear" w:color="auto" w:fill="FFFFFF" w:themeFill="background1"/>
      </w:tcPr>
    </w:tblStylePr>
    <w:tblStylePr w:type="lastRow">
      <w:rPr>
        <w:b/>
        <w:bCs/>
      </w:rPr>
      <w:tblPr/>
      <w:tcPr>
        <w:tcBorders>
          <w:top w:val="double" w:sz="2" w:space="0" w:color="F6A186"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DFD6" w:themeFill="accent1" w:themeFillTint="33"/>
      </w:tcPr>
    </w:tblStylePr>
    <w:tblStylePr w:type="band1Horz">
      <w:tblPr/>
      <w:tcPr>
        <w:shd w:val="clear" w:color="auto" w:fill="FCDFD6" w:themeFill="accent1" w:themeFillTint="33"/>
      </w:tcPr>
    </w:tblStylePr>
  </w:style>
  <w:style w:type="table" w:styleId="GridTable4-Accent1">
    <w:name w:val="Grid Table 4 Accent 1"/>
    <w:basedOn w:val="TableNormal"/>
    <w:uiPriority w:val="49"/>
    <w:rsid w:val="005641F5"/>
    <w:pPr>
      <w:spacing w:after="0" w:line="240" w:lineRule="auto"/>
    </w:pPr>
    <w:tblPr>
      <w:tblStyleRowBandSize w:val="1"/>
      <w:tblStyleColBandSize w:val="1"/>
      <w:tblBorders>
        <w:top w:val="single" w:sz="4" w:space="0" w:color="F6A186" w:themeColor="accent1" w:themeTint="99"/>
        <w:left w:val="single" w:sz="4" w:space="0" w:color="F6A186" w:themeColor="accent1" w:themeTint="99"/>
        <w:bottom w:val="single" w:sz="4" w:space="0" w:color="F6A186" w:themeColor="accent1" w:themeTint="99"/>
        <w:right w:val="single" w:sz="4" w:space="0" w:color="F6A186" w:themeColor="accent1" w:themeTint="99"/>
        <w:insideH w:val="single" w:sz="4" w:space="0" w:color="F6A186" w:themeColor="accent1" w:themeTint="99"/>
        <w:insideV w:val="single" w:sz="4" w:space="0" w:color="F6A186" w:themeColor="accent1" w:themeTint="99"/>
      </w:tblBorders>
    </w:tblPr>
    <w:tblStylePr w:type="firstRow">
      <w:rPr>
        <w:b/>
        <w:bCs/>
        <w:color w:val="FFFFFF" w:themeColor="background1"/>
      </w:rPr>
      <w:tblPr/>
      <w:tcPr>
        <w:tcBorders>
          <w:top w:val="single" w:sz="4" w:space="0" w:color="F16436" w:themeColor="accent1"/>
          <w:left w:val="single" w:sz="4" w:space="0" w:color="F16436" w:themeColor="accent1"/>
          <w:bottom w:val="single" w:sz="4" w:space="0" w:color="F16436" w:themeColor="accent1"/>
          <w:right w:val="single" w:sz="4" w:space="0" w:color="F16436" w:themeColor="accent1"/>
          <w:insideH w:val="nil"/>
          <w:insideV w:val="nil"/>
        </w:tcBorders>
        <w:shd w:val="clear" w:color="auto" w:fill="F16436" w:themeFill="accent1"/>
      </w:tcPr>
    </w:tblStylePr>
    <w:tblStylePr w:type="lastRow">
      <w:rPr>
        <w:b/>
        <w:bCs/>
      </w:rPr>
      <w:tblPr/>
      <w:tcPr>
        <w:tcBorders>
          <w:top w:val="double" w:sz="4" w:space="0" w:color="F16436" w:themeColor="accent1"/>
        </w:tcBorders>
      </w:tcPr>
    </w:tblStylePr>
    <w:tblStylePr w:type="firstCol">
      <w:rPr>
        <w:b/>
        <w:bCs/>
      </w:rPr>
    </w:tblStylePr>
    <w:tblStylePr w:type="lastCol">
      <w:rPr>
        <w:b/>
        <w:bCs/>
      </w:rPr>
    </w:tblStylePr>
    <w:tblStylePr w:type="band1Vert">
      <w:tblPr/>
      <w:tcPr>
        <w:shd w:val="clear" w:color="auto" w:fill="FCDFD6" w:themeFill="accent1" w:themeFillTint="33"/>
      </w:tcPr>
    </w:tblStylePr>
    <w:tblStylePr w:type="band1Horz">
      <w:tblPr/>
      <w:tcPr>
        <w:shd w:val="clear" w:color="auto" w:fill="FCDFD6" w:themeFill="accent1" w:themeFillTint="33"/>
      </w:tcPr>
    </w:tblStylePr>
  </w:style>
  <w:style w:type="table" w:styleId="ListTable3-Accent1">
    <w:name w:val="List Table 3 Accent 1"/>
    <w:basedOn w:val="TableNormal"/>
    <w:uiPriority w:val="48"/>
    <w:rsid w:val="005641F5"/>
    <w:pPr>
      <w:spacing w:after="0" w:line="240" w:lineRule="auto"/>
    </w:pPr>
    <w:tblPr>
      <w:tblStyleRowBandSize w:val="1"/>
      <w:tblStyleColBandSize w:val="1"/>
      <w:tblBorders>
        <w:top w:val="single" w:sz="4" w:space="0" w:color="F16436" w:themeColor="accent1"/>
        <w:left w:val="single" w:sz="4" w:space="0" w:color="F16436" w:themeColor="accent1"/>
        <w:bottom w:val="single" w:sz="4" w:space="0" w:color="F16436" w:themeColor="accent1"/>
        <w:right w:val="single" w:sz="4" w:space="0" w:color="F16436" w:themeColor="accent1"/>
      </w:tblBorders>
    </w:tblPr>
    <w:tblStylePr w:type="firstRow">
      <w:rPr>
        <w:b/>
        <w:bCs/>
        <w:color w:val="FFFFFF" w:themeColor="background1"/>
      </w:rPr>
      <w:tblPr/>
      <w:tcPr>
        <w:shd w:val="clear" w:color="auto" w:fill="F16436" w:themeFill="accent1"/>
      </w:tcPr>
    </w:tblStylePr>
    <w:tblStylePr w:type="lastRow">
      <w:rPr>
        <w:b/>
        <w:bCs/>
      </w:rPr>
      <w:tblPr/>
      <w:tcPr>
        <w:tcBorders>
          <w:top w:val="double" w:sz="4" w:space="0" w:color="F1643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6436" w:themeColor="accent1"/>
          <w:right w:val="single" w:sz="4" w:space="0" w:color="F16436" w:themeColor="accent1"/>
        </w:tcBorders>
      </w:tcPr>
    </w:tblStylePr>
    <w:tblStylePr w:type="band1Horz">
      <w:tblPr/>
      <w:tcPr>
        <w:tcBorders>
          <w:top w:val="single" w:sz="4" w:space="0" w:color="F16436" w:themeColor="accent1"/>
          <w:bottom w:val="single" w:sz="4" w:space="0" w:color="F1643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6436" w:themeColor="accent1"/>
          <w:left w:val="nil"/>
        </w:tcBorders>
      </w:tcPr>
    </w:tblStylePr>
    <w:tblStylePr w:type="swCell">
      <w:tblPr/>
      <w:tcPr>
        <w:tcBorders>
          <w:top w:val="double" w:sz="4" w:space="0" w:color="F16436" w:themeColor="accen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Bug.eu" TargetMode="External"/><Relationship Id="rId4" Type="http://schemas.openxmlformats.org/officeDocument/2006/relationships/hyperlink" Target="http://www.e-Bug.eu" TargetMode="External"/></Relationships>
</file>

<file path=word/theme/theme1.xml><?xml version="1.0" encoding="utf-8"?>
<a:theme xmlns:a="http://schemas.openxmlformats.org/drawingml/2006/main" name="e-Bug Theme">
  <a:themeElements>
    <a:clrScheme name="e-Bug master">
      <a:dk1>
        <a:srgbClr val="302564"/>
      </a:dk1>
      <a:lt1>
        <a:sysClr val="window" lastClr="FFFFFF"/>
      </a:lt1>
      <a:dk2>
        <a:srgbClr val="007C91"/>
      </a:dk2>
      <a:lt2>
        <a:srgbClr val="E7E6E6"/>
      </a:lt2>
      <a:accent1>
        <a:srgbClr val="F16436"/>
      </a:accent1>
      <a:accent2>
        <a:srgbClr val="FAC02B"/>
      </a:accent2>
      <a:accent3>
        <a:srgbClr val="8DC641"/>
      </a:accent3>
      <a:accent4>
        <a:srgbClr val="12B38F"/>
      </a:accent4>
      <a:accent5>
        <a:srgbClr val="2862A5"/>
      </a:accent5>
      <a:accent6>
        <a:srgbClr val="712B8F"/>
      </a:accent6>
      <a:hlink>
        <a:srgbClr val="302564"/>
      </a:hlink>
      <a:folHlink>
        <a:srgbClr val="712B8F"/>
      </a:folHlink>
    </a:clrScheme>
    <a:fontScheme name="Office Them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e-Bug Theme" id="{CFC6615F-A158-4940-8C4F-47A41896CBB4}" vid="{4BE583EC-FB12-4F91-AF04-48D751E116C5}"/>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401</Words>
  <Characters>2287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Liam Clayton</dc:creator>
  <cp:keywords/>
  <dc:description/>
  <cp:lastModifiedBy>Megan Whistance</cp:lastModifiedBy>
  <cp:revision>2</cp:revision>
  <dcterms:created xsi:type="dcterms:W3CDTF">2025-03-11T15:11:00Z</dcterms:created>
  <dcterms:modified xsi:type="dcterms:W3CDTF">2025-03-11T15:11:00Z</dcterms:modified>
</cp:coreProperties>
</file>