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1"/>
        <w:tblW w:w="9356" w:type="dxa"/>
        <w:tblLook w:val="04A0" w:firstRow="1" w:lastRow="0" w:firstColumn="1" w:lastColumn="0" w:noHBand="0" w:noVBand="1"/>
      </w:tblPr>
      <w:tblGrid>
        <w:gridCol w:w="1271"/>
        <w:gridCol w:w="4253"/>
        <w:gridCol w:w="3832"/>
      </w:tblGrid>
      <w:tr w:rsidR="00547367" w14:paraId="057C59E0" w14:textId="77777777" w:rsidTr="005641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shd w:val="clear" w:color="auto" w:fill="117E62"/>
          </w:tcPr>
          <w:p w14:paraId="237BB679" w14:textId="0BC85C18" w:rsidR="00547367" w:rsidRPr="005641F5" w:rsidRDefault="00547367">
            <w:r w:rsidRPr="005641F5">
              <w:t>Time</w:t>
            </w:r>
          </w:p>
        </w:tc>
        <w:tc>
          <w:tcPr>
            <w:tcW w:w="4253" w:type="dxa"/>
            <w:shd w:val="clear" w:color="auto" w:fill="117E62"/>
          </w:tcPr>
          <w:p w14:paraId="5C13F647" w14:textId="36AB0F1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Audio</w:t>
            </w:r>
          </w:p>
        </w:tc>
        <w:tc>
          <w:tcPr>
            <w:tcW w:w="3832" w:type="dxa"/>
            <w:shd w:val="clear" w:color="auto" w:fill="117E62"/>
          </w:tcPr>
          <w:p w14:paraId="04DBF616" w14:textId="69D9EF42" w:rsidR="00547367" w:rsidRPr="005641F5" w:rsidRDefault="00547367">
            <w:pPr>
              <w:cnfStyle w:val="100000000000" w:firstRow="1" w:lastRow="0" w:firstColumn="0" w:lastColumn="0" w:oddVBand="0" w:evenVBand="0" w:oddHBand="0" w:evenHBand="0" w:firstRowFirstColumn="0" w:firstRowLastColumn="0" w:lastRowFirstColumn="0" w:lastRowLastColumn="0"/>
            </w:pPr>
            <w:r w:rsidRPr="005641F5">
              <w:t>Visual</w:t>
            </w:r>
          </w:p>
        </w:tc>
      </w:tr>
      <w:tr w:rsidR="00547367" w14:paraId="114F83F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909C7A" w14:textId="223AE200" w:rsidR="00547367" w:rsidRDefault="00F32140">
            <w:r>
              <w:t>0:00-0:10</w:t>
            </w:r>
          </w:p>
        </w:tc>
        <w:tc>
          <w:tcPr>
            <w:tcW w:w="4253" w:type="dxa"/>
          </w:tcPr>
          <w:p w14:paraId="5CCFAD57" w14:textId="79ADAC97" w:rsidR="00547367" w:rsidRDefault="00F32140">
            <w:pPr>
              <w:cnfStyle w:val="000000100000" w:firstRow="0" w:lastRow="0" w:firstColumn="0" w:lastColumn="0" w:oddVBand="0" w:evenVBand="0" w:oddHBand="1" w:evenHBand="0" w:firstRowFirstColumn="0" w:firstRowLastColumn="0" w:lastRowFirstColumn="0" w:lastRowLastColumn="0"/>
            </w:pPr>
            <w:r>
              <w:t xml:space="preserve">We are going to explore how microbes can be useful to humans. We will do this by looking at a </w:t>
            </w:r>
            <w:proofErr w:type="gramStart"/>
            <w:r>
              <w:t>fungi</w:t>
            </w:r>
            <w:proofErr w:type="gramEnd"/>
            <w:r>
              <w:t xml:space="preserve"> called yeast and how it can be used to make bread rise</w:t>
            </w:r>
          </w:p>
        </w:tc>
        <w:tc>
          <w:tcPr>
            <w:tcW w:w="3832" w:type="dxa"/>
          </w:tcPr>
          <w:p w14:paraId="2639C537" w14:textId="1286B599" w:rsidR="00547367" w:rsidRDefault="00F32140">
            <w:pPr>
              <w:cnfStyle w:val="000000100000" w:firstRow="0" w:lastRow="0" w:firstColumn="0" w:lastColumn="0" w:oddVBand="0" w:evenVBand="0" w:oddHBand="1" w:evenHBand="0" w:firstRowFirstColumn="0" w:firstRowLastColumn="0" w:lastRowFirstColumn="0" w:lastRowLastColumn="0"/>
            </w:pPr>
            <w:r>
              <w:t>“Key Stage Two: Useful Microbes – Yeast Races”</w:t>
            </w:r>
          </w:p>
        </w:tc>
      </w:tr>
      <w:tr w:rsidR="00547367" w14:paraId="456BB699"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32861197" w14:textId="4BC380EE" w:rsidR="00547367" w:rsidRDefault="00F32140">
            <w:r>
              <w:t>0:10-</w:t>
            </w:r>
            <w:r w:rsidR="00D74300">
              <w:t>0:20</w:t>
            </w:r>
          </w:p>
        </w:tc>
        <w:tc>
          <w:tcPr>
            <w:tcW w:w="4253" w:type="dxa"/>
          </w:tcPr>
          <w:p w14:paraId="5C5DA18D" w14:textId="2BC31B0F" w:rsidR="00547367" w:rsidRDefault="00F32140">
            <w:pPr>
              <w:cnfStyle w:val="000000000000" w:firstRow="0" w:lastRow="0" w:firstColumn="0" w:lastColumn="0" w:oddVBand="0" w:evenVBand="0" w:oddHBand="0" w:evenHBand="0" w:firstRowFirstColumn="0" w:firstRowLastColumn="0" w:lastRowFirstColumn="0" w:lastRowLastColumn="0"/>
            </w:pPr>
            <w:r>
              <w:t xml:space="preserve">The resources required for the class are two plastic bowls, </w:t>
            </w:r>
          </w:p>
        </w:tc>
        <w:tc>
          <w:tcPr>
            <w:tcW w:w="3832" w:type="dxa"/>
          </w:tcPr>
          <w:p w14:paraId="0F0B73F2" w14:textId="1F2A64B3" w:rsidR="00547367" w:rsidRDefault="00F32140">
            <w:pPr>
              <w:cnfStyle w:val="000000000000" w:firstRow="0" w:lastRow="0" w:firstColumn="0" w:lastColumn="0" w:oddVBand="0" w:evenVBand="0" w:oddHBand="0" w:evenHBand="0" w:firstRowFirstColumn="0" w:firstRowLastColumn="0" w:lastRowFirstColumn="0" w:lastRowLastColumn="0"/>
            </w:pPr>
            <w:r>
              <w:t>The resources are laid out on the table: two bowls labelled A and B, two measuring cylinder</w:t>
            </w:r>
            <w:r w:rsidR="00D74300">
              <w:t>s labelled A and B, a bowl of flour, a bowl of sugar, a tin of yeast, and two bowls of water</w:t>
            </w:r>
          </w:p>
        </w:tc>
      </w:tr>
      <w:tr w:rsidR="00547367" w14:paraId="540D7BF6"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048E173" w14:textId="07C2CE30" w:rsidR="00547367" w:rsidRDefault="00D74300">
            <w:r>
              <w:t>0:21-0:25</w:t>
            </w:r>
          </w:p>
        </w:tc>
        <w:tc>
          <w:tcPr>
            <w:tcW w:w="4253" w:type="dxa"/>
          </w:tcPr>
          <w:p w14:paraId="16FDD8C3" w14:textId="2C166C68" w:rsidR="00547367" w:rsidRDefault="00D74300">
            <w:pPr>
              <w:cnfStyle w:val="000000100000" w:firstRow="0" w:lastRow="0" w:firstColumn="0" w:lastColumn="0" w:oddVBand="0" w:evenVBand="0" w:oddHBand="1" w:evenHBand="0" w:firstRowFirstColumn="0" w:firstRowLastColumn="0" w:lastRowFirstColumn="0" w:lastRowLastColumn="0"/>
            </w:pPr>
            <w:r>
              <w:t>Please take a moment to look at the e-Bug lesson plan for information on health and safety</w:t>
            </w:r>
          </w:p>
        </w:tc>
        <w:tc>
          <w:tcPr>
            <w:tcW w:w="3832" w:type="dxa"/>
          </w:tcPr>
          <w:p w14:paraId="23717E78" w14:textId="39D2C4E3" w:rsidR="00547367" w:rsidRDefault="00D74300">
            <w:pPr>
              <w:cnfStyle w:val="000000100000" w:firstRow="0" w:lastRow="0" w:firstColumn="0" w:lastColumn="0" w:oddVBand="0" w:evenVBand="0" w:oddHBand="1" w:evenHBand="0" w:firstRowFirstColumn="0" w:firstRowLastColumn="0" w:lastRowFirstColumn="0" w:lastRowLastColumn="0"/>
            </w:pPr>
            <w:r>
              <w:t>“Please look at the e-Bug lesson plan for information on health and safety”</w:t>
            </w:r>
          </w:p>
        </w:tc>
      </w:tr>
      <w:tr w:rsidR="00547367" w14:paraId="66788657"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24597951" w14:textId="403B29BD" w:rsidR="00547367" w:rsidRDefault="00D74300">
            <w:r>
              <w:t>0:26-0:33</w:t>
            </w:r>
          </w:p>
        </w:tc>
        <w:tc>
          <w:tcPr>
            <w:tcW w:w="4253" w:type="dxa"/>
          </w:tcPr>
          <w:p w14:paraId="178FCFF3" w14:textId="6358DE2C" w:rsidR="00547367" w:rsidRDefault="00D74300">
            <w:pPr>
              <w:cnfStyle w:val="000000000000" w:firstRow="0" w:lastRow="0" w:firstColumn="0" w:lastColumn="0" w:oddVBand="0" w:evenVBand="0" w:oddHBand="0" w:evenHBand="0" w:firstRowFirstColumn="0" w:firstRowLastColumn="0" w:lastRowFirstColumn="0" w:lastRowLastColumn="0"/>
            </w:pPr>
            <w:r>
              <w:t>Label two bowls A and B. In both bowls add four teaspoons of flour and three teaspoons of yeast.</w:t>
            </w:r>
          </w:p>
        </w:tc>
        <w:tc>
          <w:tcPr>
            <w:tcW w:w="3832" w:type="dxa"/>
          </w:tcPr>
          <w:p w14:paraId="0329679C" w14:textId="5D30FE89" w:rsidR="00547367" w:rsidRDefault="00D74300">
            <w:pPr>
              <w:cnfStyle w:val="000000000000" w:firstRow="0" w:lastRow="0" w:firstColumn="0" w:lastColumn="0" w:oddVBand="0" w:evenVBand="0" w:oddHBand="0" w:evenHBand="0" w:firstRowFirstColumn="0" w:firstRowLastColumn="0" w:lastRowFirstColumn="0" w:lastRowLastColumn="0"/>
            </w:pPr>
            <w:r>
              <w:t>A spoonful of flour is added to bowl A and a spoonful of yeast is added to bowl B</w:t>
            </w:r>
          </w:p>
        </w:tc>
      </w:tr>
      <w:tr w:rsidR="00547367" w14:paraId="065E2695"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8C69A10" w14:textId="66CDD2DE" w:rsidR="00547367" w:rsidRDefault="00D74300">
            <w:r>
              <w:t>0:34-0:36</w:t>
            </w:r>
          </w:p>
        </w:tc>
        <w:tc>
          <w:tcPr>
            <w:tcW w:w="4253" w:type="dxa"/>
          </w:tcPr>
          <w:p w14:paraId="36113C38" w14:textId="144E59A9" w:rsidR="00547367" w:rsidRDefault="00D74300">
            <w:pPr>
              <w:cnfStyle w:val="000000100000" w:firstRow="0" w:lastRow="0" w:firstColumn="0" w:lastColumn="0" w:oddVBand="0" w:evenVBand="0" w:oddHBand="1" w:evenHBand="0" w:firstRowFirstColumn="0" w:firstRowLastColumn="0" w:lastRowFirstColumn="0" w:lastRowLastColumn="0"/>
            </w:pPr>
            <w:r>
              <w:t>In bowl B add one teaspoon of sugar</w:t>
            </w:r>
          </w:p>
        </w:tc>
        <w:tc>
          <w:tcPr>
            <w:tcW w:w="3832" w:type="dxa"/>
          </w:tcPr>
          <w:p w14:paraId="4E3FF31B" w14:textId="1ADB135B" w:rsidR="00547367" w:rsidRDefault="00D74300">
            <w:pPr>
              <w:cnfStyle w:val="000000100000" w:firstRow="0" w:lastRow="0" w:firstColumn="0" w:lastColumn="0" w:oddVBand="0" w:evenVBand="0" w:oddHBand="1" w:evenHBand="0" w:firstRowFirstColumn="0" w:firstRowLastColumn="0" w:lastRowFirstColumn="0" w:lastRowLastColumn="0"/>
            </w:pPr>
            <w:r>
              <w:t>A spoonful of sugar is added to bowl B</w:t>
            </w:r>
          </w:p>
        </w:tc>
      </w:tr>
      <w:tr w:rsidR="00547367" w14:paraId="16096756"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64FAD873" w14:textId="51F2C1E7" w:rsidR="00547367" w:rsidRDefault="00D74300">
            <w:r>
              <w:t>0:37-</w:t>
            </w:r>
            <w:r w:rsidR="00A328D4">
              <w:t>0:43</w:t>
            </w:r>
          </w:p>
        </w:tc>
        <w:tc>
          <w:tcPr>
            <w:tcW w:w="4253" w:type="dxa"/>
          </w:tcPr>
          <w:p w14:paraId="064EA812" w14:textId="55A2AD9E" w:rsidR="00547367" w:rsidRDefault="00D74300">
            <w:pPr>
              <w:cnfStyle w:val="000000000000" w:firstRow="0" w:lastRow="0" w:firstColumn="0" w:lastColumn="0" w:oddVBand="0" w:evenVBand="0" w:oddHBand="0" w:evenHBand="0" w:firstRowFirstColumn="0" w:firstRowLastColumn="0" w:lastRowFirstColumn="0" w:lastRowLastColumn="0"/>
            </w:pPr>
            <w:r>
              <w:t>Now add 30ml of lukewarm water to both bowls and stir</w:t>
            </w:r>
          </w:p>
        </w:tc>
        <w:tc>
          <w:tcPr>
            <w:tcW w:w="3832" w:type="dxa"/>
          </w:tcPr>
          <w:p w14:paraId="12926A6C" w14:textId="034CD4F4" w:rsidR="00547367" w:rsidRDefault="00A328D4">
            <w:pPr>
              <w:cnfStyle w:val="000000000000" w:firstRow="0" w:lastRow="0" w:firstColumn="0" w:lastColumn="0" w:oddVBand="0" w:evenVBand="0" w:oddHBand="0" w:evenHBand="0" w:firstRowFirstColumn="0" w:firstRowLastColumn="0" w:lastRowFirstColumn="0" w:lastRowLastColumn="0"/>
            </w:pPr>
            <w:r>
              <w:t>Water is poured from the bowl into bowl B and is stirred using the spoon</w:t>
            </w:r>
          </w:p>
        </w:tc>
      </w:tr>
      <w:tr w:rsidR="00547367" w14:paraId="4F424A33"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1CE0744" w14:textId="3F7DB0F2" w:rsidR="00547367" w:rsidRDefault="00A328D4">
            <w:r>
              <w:t>0:44-0:49</w:t>
            </w:r>
          </w:p>
        </w:tc>
        <w:tc>
          <w:tcPr>
            <w:tcW w:w="4253" w:type="dxa"/>
          </w:tcPr>
          <w:p w14:paraId="57F977F2" w14:textId="03508BA4" w:rsidR="00547367" w:rsidRDefault="00A328D4">
            <w:pPr>
              <w:cnfStyle w:val="000000100000" w:firstRow="0" w:lastRow="0" w:firstColumn="0" w:lastColumn="0" w:oddVBand="0" w:evenVBand="0" w:oddHBand="1" w:evenHBand="0" w:firstRowFirstColumn="0" w:firstRowLastColumn="0" w:lastRowFirstColumn="0" w:lastRowLastColumn="0"/>
            </w:pPr>
            <w:r>
              <w:t>Label the cylinders A and B. Pour the mixture from the bowls into the corresponding cylinder</w:t>
            </w:r>
          </w:p>
        </w:tc>
        <w:tc>
          <w:tcPr>
            <w:tcW w:w="3832" w:type="dxa"/>
          </w:tcPr>
          <w:p w14:paraId="187B5A42" w14:textId="6E61D31E" w:rsidR="00547367" w:rsidRDefault="00A328D4">
            <w:pPr>
              <w:cnfStyle w:val="000000100000" w:firstRow="0" w:lastRow="0" w:firstColumn="0" w:lastColumn="0" w:oddVBand="0" w:evenVBand="0" w:oddHBand="1" w:evenHBand="0" w:firstRowFirstColumn="0" w:firstRowLastColumn="0" w:lastRowFirstColumn="0" w:lastRowLastColumn="0"/>
            </w:pPr>
            <w:r>
              <w:t>The mixture in bowl A is poured into cylinder A, and the mixture in bowl B is poured into cylinder B</w:t>
            </w:r>
          </w:p>
        </w:tc>
      </w:tr>
      <w:tr w:rsidR="002E1BB6" w14:paraId="64DEB2BA"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411891B6" w14:textId="124E56EA" w:rsidR="002E1BB6" w:rsidRDefault="00A328D4">
            <w:r>
              <w:t>0:50-1:00</w:t>
            </w:r>
          </w:p>
        </w:tc>
        <w:tc>
          <w:tcPr>
            <w:tcW w:w="4253" w:type="dxa"/>
          </w:tcPr>
          <w:p w14:paraId="669ABC2C" w14:textId="3ABFBE90" w:rsidR="002E1BB6" w:rsidRDefault="00A328D4">
            <w:pPr>
              <w:cnfStyle w:val="000000000000" w:firstRow="0" w:lastRow="0" w:firstColumn="0" w:lastColumn="0" w:oddVBand="0" w:evenVBand="0" w:oddHBand="0" w:evenHBand="0" w:firstRowFirstColumn="0" w:firstRowLastColumn="0" w:lastRowFirstColumn="0" w:lastRowLastColumn="0"/>
            </w:pPr>
            <w:r>
              <w:t>Ask students to measure what happens over the next 30 minutes. Discuss with your class. Why did the mixture rise in cylinder B? What process is happening when the mixture is rising?</w:t>
            </w:r>
          </w:p>
        </w:tc>
        <w:tc>
          <w:tcPr>
            <w:tcW w:w="3832" w:type="dxa"/>
          </w:tcPr>
          <w:p w14:paraId="5931C1A5" w14:textId="12DF3922" w:rsidR="002E1BB6" w:rsidRDefault="00A328D4">
            <w:pPr>
              <w:cnfStyle w:val="000000000000" w:firstRow="0" w:lastRow="0" w:firstColumn="0" w:lastColumn="0" w:oddVBand="0" w:evenVBand="0" w:oddHBand="0" w:evenHBand="0" w:firstRowFirstColumn="0" w:firstRowLastColumn="0" w:lastRowFirstColumn="0" w:lastRowLastColumn="0"/>
            </w:pPr>
            <w:r>
              <w:t>The mixture rises in both cylinders, but rises significantly higher in cylinder B</w:t>
            </w:r>
          </w:p>
        </w:tc>
      </w:tr>
      <w:tr w:rsidR="002E1BB6" w14:paraId="72B92EA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07DA537" w14:textId="23E5F955" w:rsidR="002E1BB6" w:rsidRDefault="00A328D4">
            <w:r>
              <w:t>1:01-1:12</w:t>
            </w:r>
          </w:p>
        </w:tc>
        <w:tc>
          <w:tcPr>
            <w:tcW w:w="4253" w:type="dxa"/>
          </w:tcPr>
          <w:p w14:paraId="1F38340E" w14:textId="5E6D0E42" w:rsidR="002E1BB6" w:rsidRDefault="00A328D4">
            <w:pPr>
              <w:cnfStyle w:val="000000100000" w:firstRow="0" w:lastRow="0" w:firstColumn="0" w:lastColumn="0" w:oddVBand="0" w:evenVBand="0" w:oddHBand="1" w:evenHBand="0" w:firstRowFirstColumn="0" w:firstRowLastColumn="0" w:lastRowFirstColumn="0" w:lastRowLastColumn="0"/>
            </w:pPr>
            <w:r>
              <w:t>This experiment shows that microbes can be useful. Here, the fungi yeast is using the sugars for energy. The yeast produces gas bubbles which causes the dough to rise</w:t>
            </w:r>
          </w:p>
        </w:tc>
        <w:tc>
          <w:tcPr>
            <w:tcW w:w="3832" w:type="dxa"/>
          </w:tcPr>
          <w:p w14:paraId="4A31C757" w14:textId="45E4C62A" w:rsidR="002E1BB6" w:rsidRDefault="00A328D4">
            <w:pPr>
              <w:cnfStyle w:val="000000100000" w:firstRow="0" w:lastRow="0" w:firstColumn="0" w:lastColumn="0" w:oddVBand="0" w:evenVBand="0" w:oddHBand="1" w:evenHBand="0" w:firstRowFirstColumn="0" w:firstRowLastColumn="0" w:lastRowFirstColumn="0" w:lastRowLastColumn="0"/>
            </w:pPr>
            <w:r>
              <w:t>The mixtures are showing rising inside the cylinders from above</w:t>
            </w:r>
          </w:p>
        </w:tc>
      </w:tr>
      <w:tr w:rsidR="00A328D4" w14:paraId="1ABC0633" w14:textId="77777777" w:rsidTr="005641F5">
        <w:tc>
          <w:tcPr>
            <w:cnfStyle w:val="001000000000" w:firstRow="0" w:lastRow="0" w:firstColumn="1" w:lastColumn="0" w:oddVBand="0" w:evenVBand="0" w:oddHBand="0" w:evenHBand="0" w:firstRowFirstColumn="0" w:firstRowLastColumn="0" w:lastRowFirstColumn="0" w:lastRowLastColumn="0"/>
            <w:tcW w:w="1271" w:type="dxa"/>
          </w:tcPr>
          <w:p w14:paraId="7645A396" w14:textId="0F6144D6" w:rsidR="00A328D4" w:rsidRDefault="00A328D4">
            <w:r>
              <w:t>1:13-1:15</w:t>
            </w:r>
          </w:p>
        </w:tc>
        <w:tc>
          <w:tcPr>
            <w:tcW w:w="4253" w:type="dxa"/>
          </w:tcPr>
          <w:p w14:paraId="68A195E5" w14:textId="367C384C" w:rsidR="00A328D4" w:rsidRDefault="00A328D4">
            <w:pPr>
              <w:cnfStyle w:val="000000000000" w:firstRow="0" w:lastRow="0" w:firstColumn="0" w:lastColumn="0" w:oddVBand="0" w:evenVBand="0" w:oddHBand="0" w:evenHBand="0" w:firstRowFirstColumn="0" w:firstRowLastColumn="0" w:lastRowFirstColumn="0" w:lastRowLastColumn="0"/>
            </w:pPr>
            <w:r>
              <w:t xml:space="preserve">This process is called </w:t>
            </w:r>
            <w:proofErr w:type="spellStart"/>
            <w:r>
              <w:t>fermantation</w:t>
            </w:r>
            <w:proofErr w:type="spellEnd"/>
          </w:p>
        </w:tc>
        <w:tc>
          <w:tcPr>
            <w:tcW w:w="3832" w:type="dxa"/>
          </w:tcPr>
          <w:p w14:paraId="1A005B52" w14:textId="5A4A4DA2" w:rsidR="00A328D4" w:rsidRDefault="00A328D4">
            <w:pPr>
              <w:cnfStyle w:val="000000000000" w:firstRow="0" w:lastRow="0" w:firstColumn="0" w:lastColumn="0" w:oddVBand="0" w:evenVBand="0" w:oddHBand="0" w:evenHBand="0" w:firstRowFirstColumn="0" w:firstRowLastColumn="0" w:lastRowFirstColumn="0" w:lastRowLastColumn="0"/>
            </w:pPr>
            <w:r>
              <w:t>“Fermentation”</w:t>
            </w:r>
          </w:p>
        </w:tc>
      </w:tr>
      <w:tr w:rsidR="00A328D4" w14:paraId="70F68D8B" w14:textId="77777777" w:rsidTr="00564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56F83A" w14:textId="6E4A8B44" w:rsidR="00A328D4" w:rsidRDefault="00A328D4">
            <w:r>
              <w:t>1:16-1:22</w:t>
            </w:r>
          </w:p>
        </w:tc>
        <w:tc>
          <w:tcPr>
            <w:tcW w:w="4253" w:type="dxa"/>
          </w:tcPr>
          <w:p w14:paraId="4E7D8024" w14:textId="54B39055" w:rsidR="00A328D4" w:rsidRDefault="00A328D4">
            <w:pPr>
              <w:cnfStyle w:val="000000100000" w:firstRow="0" w:lastRow="0" w:firstColumn="0" w:lastColumn="0" w:oddVBand="0" w:evenVBand="0" w:oddHBand="1" w:evenHBand="0" w:firstRowFirstColumn="0" w:firstRowLastColumn="0" w:lastRowFirstColumn="0" w:lastRowLastColumn="0"/>
            </w:pPr>
            <w:r>
              <w:t xml:space="preserve">Go to </w:t>
            </w:r>
            <w:hyperlink r:id="rId4" w:history="1">
              <w:r w:rsidRPr="005E2B33">
                <w:rPr>
                  <w:rStyle w:val="Hyperlink"/>
                </w:rPr>
                <w:t>www.e-Bug.eu</w:t>
              </w:r>
            </w:hyperlink>
            <w:r>
              <w:t xml:space="preserve"> for more ideas on how to teach about microbes</w:t>
            </w:r>
          </w:p>
        </w:tc>
        <w:tc>
          <w:tcPr>
            <w:tcW w:w="3832" w:type="dxa"/>
          </w:tcPr>
          <w:p w14:paraId="3FA9D253" w14:textId="1392384D" w:rsidR="00A328D4" w:rsidRDefault="00A328D4">
            <w:pPr>
              <w:cnfStyle w:val="000000100000" w:firstRow="0" w:lastRow="0" w:firstColumn="0" w:lastColumn="0" w:oddVBand="0" w:evenVBand="0" w:oddHBand="1" w:evenHBand="0" w:firstRowFirstColumn="0" w:firstRowLastColumn="0" w:lastRowFirstColumn="0" w:lastRowLastColumn="0"/>
            </w:pPr>
            <w:r>
              <w:t xml:space="preserve">“For the full lesson plan, extension activities, work sheets, answers, and much more visit the e-Bug website: </w:t>
            </w:r>
            <w:hyperlink r:id="rId5" w:history="1">
              <w:r w:rsidRPr="005E2B33">
                <w:rPr>
                  <w:rStyle w:val="Hyperlink"/>
                </w:rPr>
                <w:t>www.e-Bug.eu</w:t>
              </w:r>
            </w:hyperlink>
            <w:r>
              <w:t>”</w:t>
            </w:r>
          </w:p>
        </w:tc>
      </w:tr>
    </w:tbl>
    <w:p w14:paraId="153D6AD8" w14:textId="77777777" w:rsidR="00672E65" w:rsidRDefault="00672E65" w:rsidP="00976A36"/>
    <w:sectPr w:rsidR="00672E65" w:rsidSect="00A328D4">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67"/>
    <w:rsid w:val="000A637D"/>
    <w:rsid w:val="00214909"/>
    <w:rsid w:val="002E1BB6"/>
    <w:rsid w:val="00547367"/>
    <w:rsid w:val="005641F5"/>
    <w:rsid w:val="00672E65"/>
    <w:rsid w:val="00976A36"/>
    <w:rsid w:val="00A328D4"/>
    <w:rsid w:val="00AF71CC"/>
    <w:rsid w:val="00D74300"/>
    <w:rsid w:val="00F3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8C1B"/>
  <w15:chartTrackingRefBased/>
  <w15:docId w15:val="{2CD2510E-6E2D-44FB-A8E5-A3D9182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BB6"/>
    <w:rPr>
      <w:color w:val="302564" w:themeColor="hyperlink"/>
      <w:u w:val="single"/>
    </w:rPr>
  </w:style>
  <w:style w:type="character" w:styleId="UnresolvedMention">
    <w:name w:val="Unresolved Mention"/>
    <w:basedOn w:val="DefaultParagraphFont"/>
    <w:uiPriority w:val="99"/>
    <w:semiHidden/>
    <w:unhideWhenUsed/>
    <w:rsid w:val="002E1BB6"/>
    <w:rPr>
      <w:color w:val="605E5C"/>
      <w:shd w:val="clear" w:color="auto" w:fill="E1DFDD"/>
    </w:rPr>
  </w:style>
  <w:style w:type="table" w:styleId="PlainTable2">
    <w:name w:val="Plain Table 2"/>
    <w:basedOn w:val="TableNormal"/>
    <w:uiPriority w:val="42"/>
    <w:rsid w:val="005641F5"/>
    <w:pPr>
      <w:spacing w:after="0" w:line="240" w:lineRule="auto"/>
    </w:pPr>
    <w:tblPr>
      <w:tblStyleRowBandSize w:val="1"/>
      <w:tblStyleColBandSize w:val="1"/>
      <w:tblBorders>
        <w:top w:val="single" w:sz="4" w:space="0" w:color="8576CC" w:themeColor="text1" w:themeTint="80"/>
        <w:bottom w:val="single" w:sz="4" w:space="0" w:color="8576CC" w:themeColor="text1" w:themeTint="80"/>
      </w:tblBorders>
    </w:tblPr>
    <w:tblStylePr w:type="firstRow">
      <w:rPr>
        <w:b/>
        <w:bCs/>
      </w:rPr>
      <w:tblPr/>
      <w:tcPr>
        <w:tcBorders>
          <w:bottom w:val="single" w:sz="4" w:space="0" w:color="8576CC" w:themeColor="text1" w:themeTint="80"/>
        </w:tcBorders>
      </w:tcPr>
    </w:tblStylePr>
    <w:tblStylePr w:type="lastRow">
      <w:rPr>
        <w:b/>
        <w:bCs/>
      </w:rPr>
      <w:tblPr/>
      <w:tcPr>
        <w:tcBorders>
          <w:top w:val="single" w:sz="4" w:space="0" w:color="8576CC" w:themeColor="text1" w:themeTint="80"/>
        </w:tcBorders>
      </w:tcPr>
    </w:tblStylePr>
    <w:tblStylePr w:type="firstCol">
      <w:rPr>
        <w:b/>
        <w:bCs/>
      </w:rPr>
    </w:tblStylePr>
    <w:tblStylePr w:type="lastCol">
      <w:rPr>
        <w:b/>
        <w:bCs/>
      </w:rPr>
    </w:tblStylePr>
    <w:tblStylePr w:type="band1Vert">
      <w:tblPr/>
      <w:tcPr>
        <w:tcBorders>
          <w:left w:val="single" w:sz="4" w:space="0" w:color="8576CC" w:themeColor="text1" w:themeTint="80"/>
          <w:right w:val="single" w:sz="4" w:space="0" w:color="8576CC" w:themeColor="text1" w:themeTint="80"/>
        </w:tcBorders>
      </w:tcPr>
    </w:tblStylePr>
    <w:tblStylePr w:type="band2Vert">
      <w:tblPr/>
      <w:tcPr>
        <w:tcBorders>
          <w:left w:val="single" w:sz="4" w:space="0" w:color="8576CC" w:themeColor="text1" w:themeTint="80"/>
          <w:right w:val="single" w:sz="4" w:space="0" w:color="8576CC" w:themeColor="text1" w:themeTint="80"/>
        </w:tcBorders>
      </w:tcPr>
    </w:tblStylePr>
    <w:tblStylePr w:type="band1Horz">
      <w:tblPr/>
      <w:tcPr>
        <w:tcBorders>
          <w:top w:val="single" w:sz="4" w:space="0" w:color="8576CC" w:themeColor="text1" w:themeTint="80"/>
          <w:bottom w:val="single" w:sz="4" w:space="0" w:color="8576CC" w:themeColor="text1" w:themeTint="80"/>
        </w:tcBorders>
      </w:tcPr>
    </w:tblStylePr>
  </w:style>
  <w:style w:type="table" w:styleId="GridTable2-Accent1">
    <w:name w:val="Grid Table 2 Accent 1"/>
    <w:basedOn w:val="TableNormal"/>
    <w:uiPriority w:val="47"/>
    <w:rsid w:val="005641F5"/>
    <w:pPr>
      <w:spacing w:after="0" w:line="240" w:lineRule="auto"/>
    </w:pPr>
    <w:tblPr>
      <w:tblStyleRowBandSize w:val="1"/>
      <w:tblStyleColBandSize w:val="1"/>
      <w:tblBorders>
        <w:top w:val="single" w:sz="2" w:space="0" w:color="F6A186" w:themeColor="accent1" w:themeTint="99"/>
        <w:bottom w:val="single" w:sz="2" w:space="0" w:color="F6A186" w:themeColor="accent1" w:themeTint="99"/>
        <w:insideH w:val="single" w:sz="2" w:space="0" w:color="F6A186" w:themeColor="accent1" w:themeTint="99"/>
        <w:insideV w:val="single" w:sz="2" w:space="0" w:color="F6A186" w:themeColor="accent1" w:themeTint="99"/>
      </w:tblBorders>
    </w:tblPr>
    <w:tblStylePr w:type="firstRow">
      <w:rPr>
        <w:b/>
        <w:bCs/>
      </w:rPr>
      <w:tblPr/>
      <w:tcPr>
        <w:tcBorders>
          <w:top w:val="nil"/>
          <w:bottom w:val="single" w:sz="12" w:space="0" w:color="F6A186" w:themeColor="accent1" w:themeTint="99"/>
          <w:insideH w:val="nil"/>
          <w:insideV w:val="nil"/>
        </w:tcBorders>
        <w:shd w:val="clear" w:color="auto" w:fill="FFFFFF" w:themeFill="background1"/>
      </w:tcPr>
    </w:tblStylePr>
    <w:tblStylePr w:type="lastRow">
      <w:rPr>
        <w:b/>
        <w:bCs/>
      </w:rPr>
      <w:tblPr/>
      <w:tcPr>
        <w:tcBorders>
          <w:top w:val="double" w:sz="2" w:space="0" w:color="F6A1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GridTable4-Accent1">
    <w:name w:val="Grid Table 4 Accent 1"/>
    <w:basedOn w:val="TableNormal"/>
    <w:uiPriority w:val="49"/>
    <w:rsid w:val="005641F5"/>
    <w:pPr>
      <w:spacing w:after="0" w:line="240" w:lineRule="auto"/>
    </w:pPr>
    <w:tblPr>
      <w:tblStyleRowBandSize w:val="1"/>
      <w:tblStyleColBandSize w:val="1"/>
      <w:tblBorders>
        <w:top w:val="single" w:sz="4" w:space="0" w:color="F6A186" w:themeColor="accent1" w:themeTint="99"/>
        <w:left w:val="single" w:sz="4" w:space="0" w:color="F6A186" w:themeColor="accent1" w:themeTint="99"/>
        <w:bottom w:val="single" w:sz="4" w:space="0" w:color="F6A186" w:themeColor="accent1" w:themeTint="99"/>
        <w:right w:val="single" w:sz="4" w:space="0" w:color="F6A186" w:themeColor="accent1" w:themeTint="99"/>
        <w:insideH w:val="single" w:sz="4" w:space="0" w:color="F6A186" w:themeColor="accent1" w:themeTint="99"/>
        <w:insideV w:val="single" w:sz="4" w:space="0" w:color="F6A186" w:themeColor="accent1" w:themeTint="99"/>
      </w:tblBorders>
    </w:tblPr>
    <w:tblStylePr w:type="firstRow">
      <w:rPr>
        <w:b/>
        <w:bCs/>
        <w:color w:val="FFFFFF" w:themeColor="background1"/>
      </w:rPr>
      <w:tblPr/>
      <w:tcPr>
        <w:tcBorders>
          <w:top w:val="single" w:sz="4" w:space="0" w:color="F16436" w:themeColor="accent1"/>
          <w:left w:val="single" w:sz="4" w:space="0" w:color="F16436" w:themeColor="accent1"/>
          <w:bottom w:val="single" w:sz="4" w:space="0" w:color="F16436" w:themeColor="accent1"/>
          <w:right w:val="single" w:sz="4" w:space="0" w:color="F16436" w:themeColor="accent1"/>
          <w:insideH w:val="nil"/>
          <w:insideV w:val="nil"/>
        </w:tcBorders>
        <w:shd w:val="clear" w:color="auto" w:fill="F16436" w:themeFill="accent1"/>
      </w:tcPr>
    </w:tblStylePr>
    <w:tblStylePr w:type="lastRow">
      <w:rPr>
        <w:b/>
        <w:bCs/>
      </w:rPr>
      <w:tblPr/>
      <w:tcPr>
        <w:tcBorders>
          <w:top w:val="double" w:sz="4" w:space="0" w:color="F16436" w:themeColor="accent1"/>
        </w:tcBorders>
      </w:tcPr>
    </w:tblStylePr>
    <w:tblStylePr w:type="firstCol">
      <w:rPr>
        <w:b/>
        <w:bCs/>
      </w:rPr>
    </w:tblStylePr>
    <w:tblStylePr w:type="lastCol">
      <w:rPr>
        <w:b/>
        <w:bCs/>
      </w:rPr>
    </w:tblStylePr>
    <w:tblStylePr w:type="band1Vert">
      <w:tblPr/>
      <w:tcPr>
        <w:shd w:val="clear" w:color="auto" w:fill="FCDFD6" w:themeFill="accent1" w:themeFillTint="33"/>
      </w:tcPr>
    </w:tblStylePr>
    <w:tblStylePr w:type="band1Horz">
      <w:tblPr/>
      <w:tcPr>
        <w:shd w:val="clear" w:color="auto" w:fill="FCDFD6" w:themeFill="accent1" w:themeFillTint="33"/>
      </w:tcPr>
    </w:tblStylePr>
  </w:style>
  <w:style w:type="table" w:styleId="ListTable3-Accent1">
    <w:name w:val="List Table 3 Accent 1"/>
    <w:basedOn w:val="TableNormal"/>
    <w:uiPriority w:val="48"/>
    <w:rsid w:val="005641F5"/>
    <w:pPr>
      <w:spacing w:after="0" w:line="240" w:lineRule="auto"/>
    </w:pPr>
    <w:tblPr>
      <w:tblStyleRowBandSize w:val="1"/>
      <w:tblStyleColBandSize w:val="1"/>
      <w:tblBorders>
        <w:top w:val="single" w:sz="4" w:space="0" w:color="F16436" w:themeColor="accent1"/>
        <w:left w:val="single" w:sz="4" w:space="0" w:color="F16436" w:themeColor="accent1"/>
        <w:bottom w:val="single" w:sz="4" w:space="0" w:color="F16436" w:themeColor="accent1"/>
        <w:right w:val="single" w:sz="4" w:space="0" w:color="F16436" w:themeColor="accent1"/>
      </w:tblBorders>
    </w:tblPr>
    <w:tblStylePr w:type="firstRow">
      <w:rPr>
        <w:b/>
        <w:bCs/>
        <w:color w:val="FFFFFF" w:themeColor="background1"/>
      </w:rPr>
      <w:tblPr/>
      <w:tcPr>
        <w:shd w:val="clear" w:color="auto" w:fill="F16436" w:themeFill="accent1"/>
      </w:tcPr>
    </w:tblStylePr>
    <w:tblStylePr w:type="lastRow">
      <w:rPr>
        <w:b/>
        <w:bCs/>
      </w:rPr>
      <w:tblPr/>
      <w:tcPr>
        <w:tcBorders>
          <w:top w:val="double" w:sz="4" w:space="0" w:color="F164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36" w:themeColor="accent1"/>
          <w:right w:val="single" w:sz="4" w:space="0" w:color="F16436" w:themeColor="accent1"/>
        </w:tcBorders>
      </w:tcPr>
    </w:tblStylePr>
    <w:tblStylePr w:type="band1Horz">
      <w:tblPr/>
      <w:tcPr>
        <w:tcBorders>
          <w:top w:val="single" w:sz="4" w:space="0" w:color="F16436" w:themeColor="accent1"/>
          <w:bottom w:val="single" w:sz="4" w:space="0" w:color="F164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36" w:themeColor="accent1"/>
          <w:left w:val="nil"/>
        </w:tcBorders>
      </w:tcPr>
    </w:tblStylePr>
    <w:tblStylePr w:type="swCell">
      <w:tblPr/>
      <w:tcPr>
        <w:tcBorders>
          <w:top w:val="double" w:sz="4" w:space="0" w:color="F16436"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Bug.eu" TargetMode="External"/><Relationship Id="rId4" Type="http://schemas.openxmlformats.org/officeDocument/2006/relationships/hyperlink" Target="http://www.e-Bug.eu" TargetMode="External"/></Relationships>
</file>

<file path=word/theme/theme1.xml><?xml version="1.0" encoding="utf-8"?>
<a:theme xmlns:a="http://schemas.openxmlformats.org/drawingml/2006/main" name="e-Bug Theme">
  <a:themeElements>
    <a:clrScheme name="e-Bug master">
      <a:dk1>
        <a:srgbClr val="302564"/>
      </a:dk1>
      <a:lt1>
        <a:sysClr val="window" lastClr="FFFFFF"/>
      </a:lt1>
      <a:dk2>
        <a:srgbClr val="007C91"/>
      </a:dk2>
      <a:lt2>
        <a:srgbClr val="E7E6E6"/>
      </a:lt2>
      <a:accent1>
        <a:srgbClr val="F1643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CFC6615F-A158-4940-8C4F-47A41896CBB4}" vid="{4BE583EC-FB12-4F91-AF04-48D751E116C5}"/>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Liam Clayton</cp:lastModifiedBy>
  <cp:revision>2</cp:revision>
  <dcterms:created xsi:type="dcterms:W3CDTF">2022-08-17T14:34:00Z</dcterms:created>
  <dcterms:modified xsi:type="dcterms:W3CDTF">2022-08-17T14:34:00Z</dcterms:modified>
</cp:coreProperties>
</file>